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213169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23534">
        <w:rPr>
          <w:lang w:val="en-GB"/>
        </w:rPr>
        <w:t>September</w:t>
      </w:r>
      <w:r w:rsidR="00851F07" w:rsidRPr="00551BD8">
        <w:rPr>
          <w:lang w:val="en-GB"/>
        </w:rPr>
        <w:t xml:space="preserve"> </w:t>
      </w:r>
      <w:r w:rsidR="00E23534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E23534">
        <w:rPr>
          <w:lang w:val="en-GB"/>
        </w:rPr>
        <w:t>2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</w:t>
      </w:r>
      <w:proofErr w:type="spellStart"/>
      <w:r w:rsidR="00375C57" w:rsidRPr="00551BD8">
        <w:rPr>
          <w:b/>
          <w:sz w:val="32"/>
          <w:szCs w:val="32"/>
          <w:lang w:val="en-GB"/>
        </w:rPr>
        <w:t>Wrocław</w:t>
      </w:r>
      <w:proofErr w:type="spellEnd"/>
      <w:r w:rsidR="00375C57" w:rsidRPr="00551BD8">
        <w:rPr>
          <w:b/>
          <w:sz w:val="32"/>
          <w:szCs w:val="32"/>
          <w:lang w:val="en-GB"/>
        </w:rPr>
        <w:t xml:space="preserve">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2899644C" w:rsidR="0055309E" w:rsidRPr="0055309E" w:rsidRDefault="0055309E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proofErr w:type="spellStart"/>
      <w:r w:rsidRPr="0055309E">
        <w:rPr>
          <w:b/>
          <w:sz w:val="28"/>
          <w:szCs w:val="28"/>
        </w:rPr>
        <w:t>Rekru</w:t>
      </w:r>
      <w:r>
        <w:rPr>
          <w:b/>
          <w:sz w:val="28"/>
          <w:szCs w:val="28"/>
        </w:rPr>
        <w:t>itment</w:t>
      </w:r>
      <w:proofErr w:type="spellEnd"/>
      <w:r w:rsidRPr="00553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the </w:t>
      </w:r>
      <w:proofErr w:type="spellStart"/>
      <w:r w:rsidRPr="0055309E">
        <w:rPr>
          <w:b/>
          <w:sz w:val="28"/>
          <w:szCs w:val="28"/>
        </w:rPr>
        <w:t>proje</w:t>
      </w:r>
      <w:r w:rsidR="00FB3DA8">
        <w:rPr>
          <w:b/>
          <w:sz w:val="28"/>
          <w:szCs w:val="28"/>
        </w:rPr>
        <w:t>ct</w:t>
      </w:r>
      <w:proofErr w:type="spellEnd"/>
      <w:r w:rsidRPr="0055309E">
        <w:rPr>
          <w:b/>
          <w:sz w:val="28"/>
          <w:szCs w:val="28"/>
        </w:rPr>
        <w:t xml:space="preserve"> „</w:t>
      </w:r>
      <w:r w:rsidR="00A409AB" w:rsidRPr="00A409AB">
        <w:rPr>
          <w:b/>
          <w:bCs/>
          <w:sz w:val="28"/>
          <w:szCs w:val="28"/>
          <w:lang w:val="en"/>
        </w:rPr>
        <w:t xml:space="preserve">Synthesis and characterization of multifunctional half-Heusler compounds with tunable topological quantum effects – </w:t>
      </w:r>
      <w:r w:rsidR="00A409AB" w:rsidRPr="00A409AB">
        <w:rPr>
          <w:b/>
          <w:bCs/>
          <w:i/>
          <w:iCs/>
          <w:sz w:val="28"/>
          <w:szCs w:val="28"/>
          <w:lang w:val="en"/>
        </w:rPr>
        <w:t>TOPOHH</w:t>
      </w:r>
      <w:r w:rsidR="00A409AB" w:rsidRPr="00A409AB">
        <w:rPr>
          <w:b/>
          <w:bCs/>
          <w:sz w:val="28"/>
          <w:szCs w:val="28"/>
          <w:lang w:val="en"/>
        </w:rPr>
        <w:t xml:space="preserve">” </w:t>
      </w:r>
      <w:r w:rsidR="00A409AB" w:rsidRPr="00A409AB">
        <w:rPr>
          <w:b/>
          <w:bCs/>
          <w:sz w:val="28"/>
          <w:szCs w:val="28"/>
          <w:lang w:val="en"/>
        </w:rPr>
        <w:br/>
        <w:t>(NCN grant No. 2021/40/Q/ST5/00066)</w:t>
      </w:r>
    </w:p>
    <w:p w14:paraId="7FBCBCCB" w14:textId="0AFC6352" w:rsidR="0055309E" w:rsidRPr="0055309E" w:rsidRDefault="00FB3DA8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</w:t>
      </w:r>
      <w:r w:rsidR="0055309E" w:rsidRPr="0055309E">
        <w:rPr>
          <w:b/>
          <w:sz w:val="28"/>
          <w:szCs w:val="28"/>
        </w:rPr>
        <w:t>.</w:t>
      </w:r>
    </w:p>
    <w:p w14:paraId="0774CE0A" w14:textId="756E455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23534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E23534">
        <w:rPr>
          <w:b/>
          <w:sz w:val="28"/>
          <w:szCs w:val="28"/>
          <w:lang w:val="en-GB"/>
        </w:rPr>
        <w:t>26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E23534">
        <w:rPr>
          <w:b/>
          <w:sz w:val="28"/>
          <w:szCs w:val="28"/>
          <w:lang w:val="en-GB"/>
        </w:rPr>
        <w:t>2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1D2489" w:rsidRPr="00FC6243" w14:paraId="5A2BF55F" w14:textId="77777777" w:rsidTr="001D2489">
        <w:tc>
          <w:tcPr>
            <w:tcW w:w="946" w:type="dxa"/>
          </w:tcPr>
          <w:p w14:paraId="07F2C1DB" w14:textId="77777777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111D5380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37BF">
              <w:rPr>
                <w:bCs/>
                <w:sz w:val="24"/>
                <w:szCs w:val="24"/>
              </w:rPr>
              <w:t>Arnab</w:t>
            </w:r>
            <w:proofErr w:type="spellEnd"/>
            <w:r w:rsidRPr="007E37BF">
              <w:rPr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18" w:type="dxa"/>
          </w:tcPr>
          <w:p w14:paraId="2FD9970C" w14:textId="3485AFFA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4984823F" w14:textId="71ECF94B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B859163" w14:textId="35A5E827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4E276F63" w14:textId="68482D7F" w:rsidR="001D2489" w:rsidRPr="00430013" w:rsidRDefault="001D2489" w:rsidP="001D248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9E8FC82" w14:textId="6EFA3004" w:rsidR="001D2489" w:rsidRPr="00817BD3" w:rsidRDefault="001D2489" w:rsidP="001D24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64125A75" w14:textId="2F252F8B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20DBD809" w14:textId="75CC978F" w:rsidR="00375C57" w:rsidRPr="002C4EBF" w:rsidRDefault="00444CD0" w:rsidP="00375C57">
      <w:pPr>
        <w:tabs>
          <w:tab w:val="left" w:pos="5790"/>
        </w:tabs>
        <w:rPr>
          <w:sz w:val="24"/>
          <w:szCs w:val="24"/>
          <w:lang w:val="en-GB"/>
        </w:rPr>
      </w:pPr>
      <w:r w:rsidRPr="00444CD0">
        <w:rPr>
          <w:sz w:val="24"/>
          <w:szCs w:val="24"/>
        </w:rPr>
        <w:t xml:space="preserve">The </w:t>
      </w:r>
      <w:proofErr w:type="spellStart"/>
      <w:r w:rsidRPr="00444CD0">
        <w:rPr>
          <w:sz w:val="24"/>
          <w:szCs w:val="24"/>
        </w:rPr>
        <w:t>candidate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did</w:t>
      </w:r>
      <w:proofErr w:type="spellEnd"/>
      <w:r w:rsidRPr="00444CD0">
        <w:rPr>
          <w:sz w:val="24"/>
          <w:szCs w:val="24"/>
        </w:rPr>
        <w:t xml:space="preserve"> not </w:t>
      </w:r>
      <w:proofErr w:type="spellStart"/>
      <w:r w:rsidRPr="00444CD0">
        <w:rPr>
          <w:sz w:val="24"/>
          <w:szCs w:val="24"/>
        </w:rPr>
        <w:t>appear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without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justification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before</w:t>
      </w:r>
      <w:proofErr w:type="spellEnd"/>
      <w:r w:rsidRPr="00444CD0">
        <w:rPr>
          <w:sz w:val="24"/>
          <w:szCs w:val="24"/>
        </w:rPr>
        <w:t xml:space="preserve"> the </w:t>
      </w:r>
      <w:proofErr w:type="spellStart"/>
      <w:r w:rsidRPr="00444CD0">
        <w:rPr>
          <w:sz w:val="24"/>
          <w:szCs w:val="24"/>
        </w:rPr>
        <w:t>Recruitment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Committee</w:t>
      </w:r>
      <w:proofErr w:type="spellEnd"/>
      <w:r w:rsidRPr="00444CD0">
        <w:rPr>
          <w:sz w:val="24"/>
          <w:szCs w:val="24"/>
        </w:rPr>
        <w:t xml:space="preserve"> for </w:t>
      </w:r>
      <w:proofErr w:type="spellStart"/>
      <w:r w:rsidRPr="00444CD0">
        <w:rPr>
          <w:sz w:val="24"/>
          <w:szCs w:val="24"/>
        </w:rPr>
        <w:t>chemical</w:t>
      </w:r>
      <w:proofErr w:type="spellEnd"/>
      <w:r w:rsidRPr="00444CD0">
        <w:rPr>
          <w:sz w:val="24"/>
          <w:szCs w:val="24"/>
        </w:rPr>
        <w:t xml:space="preserve"> and </w:t>
      </w:r>
      <w:proofErr w:type="spellStart"/>
      <w:r w:rsidRPr="00444CD0">
        <w:rPr>
          <w:sz w:val="24"/>
          <w:szCs w:val="24"/>
        </w:rPr>
        <w:t>physical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sciences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within</w:t>
      </w:r>
      <w:proofErr w:type="spellEnd"/>
      <w:r w:rsidRPr="00444CD0">
        <w:rPr>
          <w:sz w:val="24"/>
          <w:szCs w:val="24"/>
        </w:rPr>
        <w:t xml:space="preserve"> the </w:t>
      </w:r>
      <w:proofErr w:type="spellStart"/>
      <w:r w:rsidRPr="00444CD0">
        <w:rPr>
          <w:sz w:val="24"/>
          <w:szCs w:val="24"/>
        </w:rPr>
        <w:t>prescribed</w:t>
      </w:r>
      <w:proofErr w:type="spellEnd"/>
      <w:r w:rsidRPr="00444CD0">
        <w:rPr>
          <w:sz w:val="24"/>
          <w:szCs w:val="24"/>
        </w:rPr>
        <w:t xml:space="preserve"> period. In the </w:t>
      </w:r>
      <w:proofErr w:type="spellStart"/>
      <w:r w:rsidRPr="00444CD0">
        <w:rPr>
          <w:sz w:val="24"/>
          <w:szCs w:val="24"/>
        </w:rPr>
        <w:t>absence</w:t>
      </w:r>
      <w:proofErr w:type="spellEnd"/>
      <w:r w:rsidRPr="00444CD0">
        <w:rPr>
          <w:sz w:val="24"/>
          <w:szCs w:val="24"/>
        </w:rPr>
        <w:t xml:space="preserve"> of </w:t>
      </w:r>
      <w:proofErr w:type="spellStart"/>
      <w:r w:rsidRPr="00444CD0">
        <w:rPr>
          <w:sz w:val="24"/>
          <w:szCs w:val="24"/>
        </w:rPr>
        <w:t>other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candidates</w:t>
      </w:r>
      <w:proofErr w:type="spellEnd"/>
      <w:r w:rsidRPr="00444CD0">
        <w:rPr>
          <w:sz w:val="24"/>
          <w:szCs w:val="24"/>
        </w:rPr>
        <w:t xml:space="preserve">, the </w:t>
      </w:r>
      <w:proofErr w:type="spellStart"/>
      <w:r w:rsidRPr="00444CD0">
        <w:rPr>
          <w:sz w:val="24"/>
          <w:szCs w:val="24"/>
        </w:rPr>
        <w:t>Commission</w:t>
      </w:r>
      <w:proofErr w:type="spellEnd"/>
      <w:r w:rsidRPr="00444CD0">
        <w:rPr>
          <w:sz w:val="24"/>
          <w:szCs w:val="24"/>
        </w:rPr>
        <w:t xml:space="preserve"> </w:t>
      </w:r>
      <w:proofErr w:type="spellStart"/>
      <w:r w:rsidRPr="00444CD0">
        <w:rPr>
          <w:sz w:val="24"/>
          <w:szCs w:val="24"/>
        </w:rPr>
        <w:t>considered</w:t>
      </w:r>
      <w:proofErr w:type="spellEnd"/>
      <w:r w:rsidRPr="00444CD0">
        <w:rPr>
          <w:sz w:val="24"/>
          <w:szCs w:val="24"/>
        </w:rPr>
        <w:t xml:space="preserve"> the </w:t>
      </w:r>
      <w:proofErr w:type="spellStart"/>
      <w:r w:rsidRPr="00444CD0">
        <w:rPr>
          <w:sz w:val="24"/>
          <w:szCs w:val="24"/>
        </w:rPr>
        <w:t>competition</w:t>
      </w:r>
      <w:proofErr w:type="spellEnd"/>
      <w:r w:rsidRPr="00444CD0">
        <w:rPr>
          <w:sz w:val="24"/>
          <w:szCs w:val="24"/>
        </w:rPr>
        <w:t xml:space="preserve"> to be </w:t>
      </w:r>
      <w:proofErr w:type="spellStart"/>
      <w:r w:rsidRPr="00444CD0">
        <w:rPr>
          <w:sz w:val="24"/>
          <w:szCs w:val="24"/>
        </w:rPr>
        <w:t>pending</w:t>
      </w:r>
      <w:proofErr w:type="spellEnd"/>
      <w:r w:rsidRPr="00444CD0">
        <w:rPr>
          <w:sz w:val="24"/>
          <w:szCs w:val="24"/>
        </w:rPr>
        <w:t>.</w:t>
      </w: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5CAD" w14:textId="77777777" w:rsidR="004D0CCF" w:rsidRDefault="004D0CCF" w:rsidP="00715D63">
      <w:pPr>
        <w:spacing w:after="0" w:line="240" w:lineRule="auto"/>
      </w:pPr>
      <w:r>
        <w:separator/>
      </w:r>
    </w:p>
  </w:endnote>
  <w:endnote w:type="continuationSeparator" w:id="0">
    <w:p w14:paraId="7A60F1E8" w14:textId="77777777" w:rsidR="004D0CCF" w:rsidRDefault="004D0CCF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000000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615" w14:textId="77777777" w:rsidR="004D0CCF" w:rsidRDefault="004D0CCF" w:rsidP="00715D63">
      <w:pPr>
        <w:spacing w:after="0" w:line="240" w:lineRule="auto"/>
      </w:pPr>
      <w:r>
        <w:separator/>
      </w:r>
    </w:p>
  </w:footnote>
  <w:footnote w:type="continuationSeparator" w:id="0">
    <w:p w14:paraId="6EFD4C1E" w14:textId="77777777" w:rsidR="004D0CCF" w:rsidRDefault="004D0CCF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000000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43DC4"/>
    <w:rsid w:val="001D2489"/>
    <w:rsid w:val="001E4C2D"/>
    <w:rsid w:val="002B102E"/>
    <w:rsid w:val="002C4EBF"/>
    <w:rsid w:val="002D1A1B"/>
    <w:rsid w:val="002D3B86"/>
    <w:rsid w:val="002E3A78"/>
    <w:rsid w:val="00345D4C"/>
    <w:rsid w:val="00375C57"/>
    <w:rsid w:val="003C0C2C"/>
    <w:rsid w:val="003D71DB"/>
    <w:rsid w:val="003E081E"/>
    <w:rsid w:val="003E5CC3"/>
    <w:rsid w:val="0041014D"/>
    <w:rsid w:val="00411459"/>
    <w:rsid w:val="00433457"/>
    <w:rsid w:val="00444CD0"/>
    <w:rsid w:val="0046143F"/>
    <w:rsid w:val="00492476"/>
    <w:rsid w:val="004D0CCF"/>
    <w:rsid w:val="0050696B"/>
    <w:rsid w:val="00551BD8"/>
    <w:rsid w:val="0055309E"/>
    <w:rsid w:val="00596AAF"/>
    <w:rsid w:val="0059718B"/>
    <w:rsid w:val="005B2983"/>
    <w:rsid w:val="005D392D"/>
    <w:rsid w:val="005E15EA"/>
    <w:rsid w:val="0065664A"/>
    <w:rsid w:val="006774FD"/>
    <w:rsid w:val="006A4F9E"/>
    <w:rsid w:val="006B5ADC"/>
    <w:rsid w:val="00715D63"/>
    <w:rsid w:val="00767EC4"/>
    <w:rsid w:val="00822D57"/>
    <w:rsid w:val="00851F07"/>
    <w:rsid w:val="00853B11"/>
    <w:rsid w:val="0086297D"/>
    <w:rsid w:val="008A15BC"/>
    <w:rsid w:val="008F7D35"/>
    <w:rsid w:val="00921C00"/>
    <w:rsid w:val="009F38F6"/>
    <w:rsid w:val="00A409AB"/>
    <w:rsid w:val="00A87E45"/>
    <w:rsid w:val="00AB02EB"/>
    <w:rsid w:val="00AB29BF"/>
    <w:rsid w:val="00B100FA"/>
    <w:rsid w:val="00B3211D"/>
    <w:rsid w:val="00B4462F"/>
    <w:rsid w:val="00C01FF1"/>
    <w:rsid w:val="00C03102"/>
    <w:rsid w:val="00C77F1E"/>
    <w:rsid w:val="00D46185"/>
    <w:rsid w:val="00D654C5"/>
    <w:rsid w:val="00DA223B"/>
    <w:rsid w:val="00E23534"/>
    <w:rsid w:val="00E30A53"/>
    <w:rsid w:val="00E428F0"/>
    <w:rsid w:val="00E6283D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7</cp:revision>
  <cp:lastPrinted>2022-10-03T10:12:00Z</cp:lastPrinted>
  <dcterms:created xsi:type="dcterms:W3CDTF">2022-10-03T10:12:00Z</dcterms:created>
  <dcterms:modified xsi:type="dcterms:W3CDTF">2022-10-03T10:16:00Z</dcterms:modified>
</cp:coreProperties>
</file>