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BA7" w:rsidRDefault="00F51E20" w:rsidP="00217BA7">
      <w:pPr>
        <w:widowControl w:val="0"/>
        <w:autoSpaceDE w:val="0"/>
        <w:ind w:right="-698" w:firstLine="793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numer 1 do zarządzenia dyrektora </w:t>
      </w:r>
    </w:p>
    <w:p w:rsidR="00217BA7" w:rsidRPr="00217BA7" w:rsidRDefault="00F51E20" w:rsidP="00217BA7">
      <w:pPr>
        <w:widowControl w:val="0"/>
        <w:autoSpaceDE w:val="0"/>
        <w:ind w:right="-698" w:firstLine="7938"/>
        <w:rPr>
          <w:b/>
          <w:sz w:val="20"/>
          <w:szCs w:val="20"/>
        </w:rPr>
      </w:pPr>
      <w:r>
        <w:rPr>
          <w:b/>
          <w:sz w:val="22"/>
          <w:szCs w:val="22"/>
        </w:rPr>
        <w:t xml:space="preserve">Instytutu Niskich Temperatur i Badań Strukturalnych </w:t>
      </w:r>
    </w:p>
    <w:p w:rsidR="00030EF6" w:rsidRDefault="00F51E20" w:rsidP="00217BA7">
      <w:pPr>
        <w:widowControl w:val="0"/>
        <w:autoSpaceDE w:val="0"/>
        <w:spacing w:after="480"/>
        <w:ind w:right="-697" w:firstLine="7938"/>
        <w:rPr>
          <w:b/>
          <w:sz w:val="46"/>
        </w:rPr>
      </w:pPr>
      <w:r>
        <w:rPr>
          <w:b/>
          <w:sz w:val="22"/>
          <w:szCs w:val="22"/>
        </w:rPr>
        <w:t>z dnia: 21.05.2015 r</w:t>
      </w:r>
      <w:r>
        <w:rPr>
          <w:b/>
          <w:sz w:val="20"/>
          <w:szCs w:val="20"/>
        </w:rPr>
        <w:t>.</w:t>
      </w:r>
      <w:r w:rsidR="00217BA7">
        <w:rPr>
          <w:b/>
          <w:sz w:val="46"/>
        </w:rPr>
        <w:t xml:space="preserve"> </w:t>
      </w:r>
    </w:p>
    <w:p w:rsidR="00030EF6" w:rsidRDefault="00F51E20">
      <w:pPr>
        <w:widowControl w:val="0"/>
        <w:autoSpaceDE w:val="0"/>
        <w:ind w:right="-698"/>
        <w:jc w:val="center"/>
        <w:rPr>
          <w:b/>
          <w:sz w:val="46"/>
        </w:rPr>
      </w:pPr>
      <w:r>
        <w:rPr>
          <w:b/>
          <w:sz w:val="46"/>
        </w:rPr>
        <w:t>Instytut Niskich Temperatur i Badań Strukturalnych</w:t>
      </w:r>
    </w:p>
    <w:p w:rsidR="00217BA7" w:rsidRDefault="00F51E20">
      <w:pPr>
        <w:widowControl w:val="0"/>
        <w:autoSpaceDE w:val="0"/>
        <w:ind w:right="-698"/>
        <w:jc w:val="center"/>
        <w:rPr>
          <w:b/>
          <w:sz w:val="46"/>
        </w:rPr>
      </w:pPr>
      <w:r>
        <w:rPr>
          <w:b/>
          <w:sz w:val="46"/>
        </w:rPr>
        <w:t>im. Włodzimierza Trzebiatowskiego PAN we Wrocławiu</w:t>
      </w:r>
    </w:p>
    <w:p w:rsidR="00217BA7" w:rsidRDefault="00F51E20" w:rsidP="00217BA7">
      <w:pPr>
        <w:widowControl w:val="0"/>
        <w:autoSpaceDE w:val="0"/>
        <w:spacing w:before="1800"/>
        <w:ind w:right="-697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JEDNOLITY RZECZOWY WYKAZ AKT</w:t>
      </w:r>
    </w:p>
    <w:p w:rsidR="00217BA7" w:rsidRDefault="00217BA7">
      <w:pPr>
        <w:suppressAutoHyphens w:val="0"/>
        <w:rPr>
          <w:b/>
        </w:rPr>
      </w:pPr>
      <w:r>
        <w:rPr>
          <w:b/>
        </w:rPr>
        <w:br w:type="page"/>
      </w:r>
    </w:p>
    <w:p w:rsidR="00030EF6" w:rsidRDefault="00030EF6" w:rsidP="00217BA7">
      <w:pPr>
        <w:widowControl w:val="0"/>
        <w:autoSpaceDE w:val="0"/>
        <w:spacing w:before="1800"/>
        <w:ind w:right="-697"/>
        <w:jc w:val="center"/>
        <w:rPr>
          <w:b/>
        </w:rPr>
      </w:pPr>
    </w:p>
    <w:p w:rsidR="00030EF6" w:rsidRDefault="00F51E20">
      <w:pPr>
        <w:widowControl w:val="0"/>
        <w:autoSpaceDE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TYTUŁY KLAS I </w:t>
      </w:r>
      <w:proofErr w:type="spellStart"/>
      <w:r>
        <w:rPr>
          <w:b/>
          <w:sz w:val="36"/>
          <w:szCs w:val="36"/>
        </w:rPr>
        <w:t>i</w:t>
      </w:r>
      <w:proofErr w:type="spellEnd"/>
      <w:r>
        <w:rPr>
          <w:b/>
          <w:sz w:val="36"/>
          <w:szCs w:val="36"/>
        </w:rPr>
        <w:t xml:space="preserve"> II RZĘD</w:t>
      </w:r>
      <w:r w:rsidR="00217BA7">
        <w:rPr>
          <w:b/>
          <w:sz w:val="36"/>
          <w:szCs w:val="36"/>
        </w:rPr>
        <w:t>U</w:t>
      </w:r>
    </w:p>
    <w:p w:rsidR="00030EF6" w:rsidRDefault="00030EF6">
      <w:pPr>
        <w:widowControl w:val="0"/>
        <w:autoSpaceDE w:val="0"/>
        <w:jc w:val="center"/>
        <w:rPr>
          <w:b/>
          <w:sz w:val="28"/>
          <w:szCs w:val="28"/>
        </w:rPr>
      </w:pPr>
    </w:p>
    <w:p w:rsidR="00030EF6" w:rsidRDefault="00F51E20">
      <w:pPr>
        <w:widowControl w:val="0"/>
        <w:autoSpaceDE w:val="0"/>
        <w:spacing w:after="113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   –   ZARZĄDZANIE</w:t>
      </w:r>
    </w:p>
    <w:p w:rsidR="00030EF6" w:rsidRDefault="00F51E20">
      <w:pPr>
        <w:widowControl w:val="0"/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00  –   Gremia kolegialne</w:t>
      </w:r>
    </w:p>
    <w:p w:rsidR="00030EF6" w:rsidRDefault="00F51E20">
      <w:pPr>
        <w:widowControl w:val="0"/>
        <w:autoSpaceDE w:val="0"/>
        <w:ind w:lef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01  –   Organizacja</w:t>
      </w:r>
    </w:p>
    <w:p w:rsidR="00030EF6" w:rsidRDefault="00F51E20">
      <w:pPr>
        <w:widowControl w:val="0"/>
        <w:autoSpaceDE w:val="0"/>
        <w:ind w:lef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02  –   Akty normatywne. Pomoc prawna</w:t>
      </w:r>
    </w:p>
    <w:p w:rsidR="00030EF6" w:rsidRDefault="00F51E20">
      <w:pPr>
        <w:widowControl w:val="0"/>
        <w:autoSpaceDE w:val="0"/>
        <w:ind w:lef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03  –   Planowanie i sprawozdawczość. Statystyka. Analizy</w:t>
      </w:r>
    </w:p>
    <w:p w:rsidR="00030EF6" w:rsidRDefault="00F51E20">
      <w:pPr>
        <w:widowControl w:val="0"/>
        <w:autoSpaceDE w:val="0"/>
        <w:ind w:lef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04  –   Informatyzacja</w:t>
      </w:r>
    </w:p>
    <w:p w:rsidR="00030EF6" w:rsidRDefault="00F51E20">
      <w:pPr>
        <w:widowControl w:val="0"/>
        <w:autoSpaceDE w:val="0"/>
        <w:ind w:left="28" w:firstLine="709"/>
        <w:rPr>
          <w:sz w:val="28"/>
          <w:szCs w:val="28"/>
        </w:rPr>
      </w:pPr>
      <w:r>
        <w:rPr>
          <w:sz w:val="28"/>
          <w:szCs w:val="28"/>
        </w:rPr>
        <w:t>05  –</w:t>
      </w:r>
      <w:r w:rsidR="00217BA7">
        <w:rPr>
          <w:sz w:val="28"/>
          <w:szCs w:val="28"/>
        </w:rPr>
        <w:tab/>
      </w:r>
      <w:r>
        <w:rPr>
          <w:sz w:val="28"/>
          <w:szCs w:val="28"/>
        </w:rPr>
        <w:t>Ochrona i udostępnianie informacji ustawowo chronionych oraz informacji publicznej</w:t>
      </w:r>
    </w:p>
    <w:p w:rsidR="00030EF6" w:rsidRDefault="00F51E20">
      <w:pPr>
        <w:widowControl w:val="0"/>
        <w:autoSpaceDE w:val="0"/>
        <w:ind w:firstLine="708"/>
        <w:rPr>
          <w:sz w:val="28"/>
          <w:szCs w:val="28"/>
        </w:rPr>
      </w:pPr>
      <w:r>
        <w:rPr>
          <w:sz w:val="28"/>
          <w:szCs w:val="28"/>
        </w:rPr>
        <w:t>06  –</w:t>
      </w:r>
      <w:r w:rsidR="00217BA7">
        <w:rPr>
          <w:sz w:val="28"/>
          <w:szCs w:val="28"/>
        </w:rPr>
        <w:tab/>
      </w:r>
      <w:r>
        <w:rPr>
          <w:sz w:val="28"/>
          <w:szCs w:val="28"/>
        </w:rPr>
        <w:t>Programy i projekty współfinansowane ze środków zewnętrznych, w tym Unii Europejskiej</w:t>
      </w:r>
    </w:p>
    <w:p w:rsidR="00030EF6" w:rsidRDefault="00F51E20">
      <w:pPr>
        <w:widowControl w:val="0"/>
        <w:autoSpaceDE w:val="0"/>
        <w:ind w:firstLine="708"/>
        <w:rPr>
          <w:sz w:val="28"/>
          <w:szCs w:val="28"/>
        </w:rPr>
      </w:pPr>
      <w:r>
        <w:rPr>
          <w:sz w:val="28"/>
          <w:szCs w:val="28"/>
        </w:rPr>
        <w:t>07  –  Reprezentacja i promowanie Instytutu</w:t>
      </w:r>
    </w:p>
    <w:p w:rsidR="00030EF6" w:rsidRDefault="00F51E20">
      <w:pPr>
        <w:widowControl w:val="0"/>
        <w:autoSpaceDE w:val="0"/>
        <w:ind w:firstLine="708"/>
        <w:rPr>
          <w:sz w:val="28"/>
          <w:szCs w:val="28"/>
        </w:rPr>
      </w:pPr>
      <w:r>
        <w:rPr>
          <w:sz w:val="28"/>
          <w:szCs w:val="28"/>
        </w:rPr>
        <w:t>08  –</w:t>
      </w:r>
      <w:r w:rsidR="00217BA7">
        <w:rPr>
          <w:sz w:val="28"/>
          <w:szCs w:val="28"/>
        </w:rPr>
        <w:tab/>
      </w:r>
      <w:r>
        <w:rPr>
          <w:sz w:val="28"/>
          <w:szCs w:val="28"/>
        </w:rPr>
        <w:t>Kontrola, audyt, szacowanie ryzyka dla realizacji zadań</w:t>
      </w:r>
    </w:p>
    <w:p w:rsidR="00030EF6" w:rsidRDefault="00030EF6">
      <w:pPr>
        <w:widowControl w:val="0"/>
        <w:autoSpaceDE w:val="0"/>
        <w:ind w:firstLine="708"/>
        <w:rPr>
          <w:sz w:val="28"/>
          <w:szCs w:val="28"/>
        </w:rPr>
      </w:pPr>
    </w:p>
    <w:p w:rsidR="00030EF6" w:rsidRDefault="00F51E20">
      <w:pPr>
        <w:widowControl w:val="0"/>
        <w:autoSpaceDE w:val="0"/>
        <w:spacing w:after="113"/>
        <w:ind w:firstLine="709"/>
        <w:rPr>
          <w:sz w:val="28"/>
          <w:szCs w:val="28"/>
        </w:rPr>
      </w:pPr>
      <w:r>
        <w:rPr>
          <w:b/>
          <w:sz w:val="28"/>
          <w:szCs w:val="28"/>
        </w:rPr>
        <w:t xml:space="preserve"> 1   –</w:t>
      </w:r>
      <w:r w:rsidR="00217BA7">
        <w:rPr>
          <w:b/>
          <w:sz w:val="28"/>
          <w:szCs w:val="28"/>
        </w:rPr>
        <w:tab/>
      </w:r>
      <w:r>
        <w:rPr>
          <w:b/>
          <w:sz w:val="28"/>
          <w:szCs w:val="28"/>
        </w:rPr>
        <w:t>KADRY</w:t>
      </w:r>
    </w:p>
    <w:p w:rsidR="00030EF6" w:rsidRDefault="00F51E20" w:rsidP="00217BA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10  –  Regulacje oraz wyjaśnienia, interpretacje, opinie, akty prawne dotyczące zagadnień z zakresu spraw</w:t>
      </w:r>
      <w:r w:rsidR="00217BA7">
        <w:rPr>
          <w:sz w:val="28"/>
          <w:szCs w:val="28"/>
        </w:rPr>
        <w:t xml:space="preserve"> </w:t>
      </w:r>
      <w:r>
        <w:rPr>
          <w:sz w:val="28"/>
          <w:szCs w:val="28"/>
        </w:rPr>
        <w:t>kadrowych</w:t>
      </w:r>
    </w:p>
    <w:p w:rsidR="00030EF6" w:rsidRDefault="00F51E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  –   Nawiązywanie, przebieg i rozwiązywanie stosunku pracy oraz innych form zatrudnienia</w:t>
      </w:r>
    </w:p>
    <w:p w:rsidR="00030EF6" w:rsidRDefault="00F51E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  –   Ewidencja osobowa</w:t>
      </w:r>
    </w:p>
    <w:p w:rsidR="00030EF6" w:rsidRDefault="00F51E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  –   Dyscyplina pracy</w:t>
      </w:r>
    </w:p>
    <w:p w:rsidR="00030EF6" w:rsidRDefault="00F51E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  –   Bezpieczeństwo i higiena pracy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15  –   Szkolenie i doskonalenie zawodowe osób zatrudnionych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16  –   Pomoc socjalna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17  –   Ubezpieczenia społeczne</w:t>
      </w:r>
    </w:p>
    <w:p w:rsidR="00030EF6" w:rsidRPr="00217BA7" w:rsidRDefault="00F51E20" w:rsidP="00217BA7">
      <w:pPr>
        <w:spacing w:after="600"/>
        <w:ind w:firstLine="709"/>
        <w:rPr>
          <w:b/>
        </w:rPr>
      </w:pPr>
      <w:r>
        <w:rPr>
          <w:sz w:val="28"/>
          <w:szCs w:val="28"/>
        </w:rPr>
        <w:t>18  –   Opieka zdrowotna. Pracownicza poradnia zdrowia</w:t>
      </w:r>
    </w:p>
    <w:p w:rsidR="00030EF6" w:rsidRDefault="00F51E20">
      <w:pPr>
        <w:spacing w:after="113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2   –   ŚRODKI  RZECZOWE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20  –   Dokumentacja prawna i techniczna obiektów własnych Instytutu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>21  –   Inwestycje i remonty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22  –   Administrowanie obiektami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23  –   Zaopatrzenie. Obsługa materiałowa środków rzeczowych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24  –   Transport, łączność, infrastruktura informatyczna i telekomunikacyjna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25  –   Zakup i naprawa aparatury naukowo–badawczej oraz sprzętu i oprogramowania komputerowego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26  –   Zamówienia publiczne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27  –   Nadzór i zabezpieczenie prawidłowej eksploatacji i ciągłości pracy maszyn, urządzeń, aparatury i instalacji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28  –   Ochrona środowiska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29  –   Ochrona radiologiczna</w:t>
      </w:r>
    </w:p>
    <w:p w:rsidR="00030EF6" w:rsidRDefault="00030EF6">
      <w:pPr>
        <w:ind w:firstLine="708"/>
        <w:rPr>
          <w:sz w:val="28"/>
          <w:szCs w:val="28"/>
        </w:rPr>
      </w:pPr>
    </w:p>
    <w:p w:rsidR="00030EF6" w:rsidRDefault="00F51E20">
      <w:pPr>
        <w:spacing w:after="113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3   –   EKONOMIKA</w:t>
      </w:r>
    </w:p>
    <w:p w:rsidR="00030EF6" w:rsidRDefault="00F51E20">
      <w:pPr>
        <w:pStyle w:val="Nagwek1"/>
        <w:ind w:left="0" w:firstLine="708"/>
        <w:jc w:val="left"/>
        <w:rPr>
          <w:sz w:val="28"/>
          <w:szCs w:val="28"/>
        </w:rPr>
      </w:pPr>
      <w:r>
        <w:rPr>
          <w:b w:val="0"/>
          <w:sz w:val="28"/>
          <w:szCs w:val="28"/>
        </w:rPr>
        <w:t xml:space="preserve">30  –   Podstawowe zasady </w:t>
      </w:r>
      <w:proofErr w:type="spellStart"/>
      <w:r>
        <w:rPr>
          <w:b w:val="0"/>
          <w:sz w:val="28"/>
          <w:szCs w:val="28"/>
        </w:rPr>
        <w:t>ekonomiczno</w:t>
      </w:r>
      <w:proofErr w:type="spellEnd"/>
      <w:r>
        <w:rPr>
          <w:b w:val="0"/>
          <w:sz w:val="28"/>
          <w:szCs w:val="28"/>
        </w:rPr>
        <w:t>–finansowe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31  –   Obsługa finansowo–księgowa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32  –   Zobowiązania podatkowe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33  –   Rozliczenia płac i wynagrodzeń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34  –   Rozliczenia i zaświadczenia ZUS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35  –   Księgowość materiałowo–towarowa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36  –   Inwentaryzacja</w:t>
      </w:r>
    </w:p>
    <w:p w:rsidR="00030EF6" w:rsidRDefault="00030EF6">
      <w:pPr>
        <w:ind w:firstLine="708"/>
        <w:rPr>
          <w:sz w:val="28"/>
          <w:szCs w:val="28"/>
        </w:rPr>
      </w:pPr>
    </w:p>
    <w:p w:rsidR="00030EF6" w:rsidRDefault="00F51E20">
      <w:pPr>
        <w:spacing w:after="113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4   –   DZIAŁALNOŚĆ NAUKOWO–BADAWCZA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40  –   Wyjaśnienia, interpretacje, opinie, akty prawne dotyczące badań naukowych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41  –   Prace badawcze i rozwojowe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42  –   Publikacje własne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43  –   Patenty naukowe. Ochrona patentowa 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44  –   Naukowe bazy danych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45  –   Konferencje, zjazdy, sympozja i seminaria naukowe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46  –   Krajowa współpraca naukowa</w:t>
      </w:r>
    </w:p>
    <w:p w:rsidR="00030EF6" w:rsidRDefault="00F51E20" w:rsidP="00217BA7">
      <w:pPr>
        <w:spacing w:after="600"/>
        <w:ind w:firstLine="709"/>
        <w:rPr>
          <w:sz w:val="28"/>
          <w:szCs w:val="28"/>
        </w:rPr>
      </w:pPr>
      <w:r>
        <w:rPr>
          <w:sz w:val="28"/>
          <w:szCs w:val="28"/>
        </w:rPr>
        <w:t>47  –   Współpraca naukowa z zagranicą</w:t>
      </w:r>
    </w:p>
    <w:p w:rsidR="00030EF6" w:rsidRDefault="00F51E20">
      <w:pPr>
        <w:spacing w:after="113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5   –   KSZTAŁCENIE PRACOWNIKÓW NAUKOWYCH.  ROZWÓJ KADRY NAUKOWEJ</w:t>
      </w:r>
    </w:p>
    <w:p w:rsidR="00217BA7" w:rsidRDefault="00F51E20" w:rsidP="00217B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50  –   Wyjaśnienia, interpretacje, opinie, akty prawne dotyczące zagadnień z zakresu kształcenia i rozwoju kadry</w:t>
      </w:r>
    </w:p>
    <w:p w:rsidR="00030EF6" w:rsidRDefault="00F51E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naukowej oraz dydaktyki</w:t>
      </w:r>
    </w:p>
    <w:p w:rsidR="00030EF6" w:rsidRDefault="00F51E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51  –   Doktoraty</w:t>
      </w:r>
    </w:p>
    <w:p w:rsidR="00030EF6" w:rsidRDefault="00F51E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52  –   Habilitacje</w:t>
      </w:r>
    </w:p>
    <w:p w:rsidR="00030EF6" w:rsidRDefault="00F51E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53  –   Profesury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54  –</w:t>
      </w:r>
      <w:r w:rsidR="00217BA7">
        <w:rPr>
          <w:sz w:val="28"/>
          <w:szCs w:val="28"/>
        </w:rPr>
        <w:tab/>
      </w:r>
      <w:r>
        <w:rPr>
          <w:sz w:val="28"/>
          <w:szCs w:val="28"/>
        </w:rPr>
        <w:t>Studia podyplomowe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55  –</w:t>
      </w:r>
      <w:r w:rsidR="00217BA7">
        <w:rPr>
          <w:sz w:val="28"/>
          <w:szCs w:val="28"/>
        </w:rPr>
        <w:tab/>
      </w:r>
      <w:r>
        <w:rPr>
          <w:sz w:val="28"/>
          <w:szCs w:val="28"/>
        </w:rPr>
        <w:t>Inna działalność z zakresu kształcenia pracowników naukowych</w:t>
      </w:r>
    </w:p>
    <w:p w:rsidR="00030EF6" w:rsidRDefault="00030EF6">
      <w:pPr>
        <w:ind w:firstLine="708"/>
        <w:rPr>
          <w:sz w:val="28"/>
          <w:szCs w:val="28"/>
        </w:rPr>
      </w:pPr>
    </w:p>
    <w:p w:rsidR="00030EF6" w:rsidRDefault="00F51E20">
      <w:pPr>
        <w:spacing w:after="113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 6   –   DZIAŁALNOŚĆ METROLOGICZNA I GOSPODARCZO-USŁUGOWA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60  –   Wdrażanie i utrzymywanie systemu zarządzania jakością w Laboratorium Wzorca Temperatury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61  –</w:t>
      </w:r>
      <w:r w:rsidR="00217BA7">
        <w:rPr>
          <w:sz w:val="28"/>
          <w:szCs w:val="28"/>
        </w:rPr>
        <w:tab/>
      </w:r>
      <w:r>
        <w:rPr>
          <w:sz w:val="28"/>
          <w:szCs w:val="28"/>
        </w:rPr>
        <w:t>Utrzymywanie państwowego wzorca jednostki temperatury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62  –</w:t>
      </w:r>
      <w:r w:rsidR="00217BA7">
        <w:rPr>
          <w:sz w:val="28"/>
          <w:szCs w:val="28"/>
        </w:rPr>
        <w:tab/>
      </w:r>
      <w:r>
        <w:rPr>
          <w:sz w:val="28"/>
          <w:szCs w:val="28"/>
        </w:rPr>
        <w:t>Prace usługowe w zakresie pomiarów temperatury / wzorcowania urządzeń do pomiaru temperatury</w:t>
      </w:r>
      <w:r>
        <w:t xml:space="preserve"> </w:t>
      </w:r>
    </w:p>
    <w:p w:rsidR="00030EF6" w:rsidRDefault="00F51E20">
      <w:pPr>
        <w:ind w:firstLine="708"/>
        <w:rPr>
          <w:sz w:val="28"/>
          <w:szCs w:val="28"/>
        </w:rPr>
      </w:pPr>
      <w:r>
        <w:rPr>
          <w:sz w:val="28"/>
          <w:szCs w:val="28"/>
        </w:rPr>
        <w:t>63  –   Produkcja aparatury i urządzeń</w:t>
      </w:r>
    </w:p>
    <w:p w:rsidR="00217BA7" w:rsidRDefault="00F51E20" w:rsidP="00217BA7">
      <w:pPr>
        <w:ind w:left="708"/>
        <w:rPr>
          <w:sz w:val="28"/>
          <w:szCs w:val="28"/>
        </w:rPr>
      </w:pPr>
      <w:r>
        <w:rPr>
          <w:sz w:val="28"/>
          <w:szCs w:val="28"/>
        </w:rPr>
        <w:t>64  –   Produkcja, magazynowanie oraz wydawanie ciekłego helu, azotu i gazowego helu dla odbiorców</w:t>
      </w:r>
      <w:r w:rsidR="00217BA7" w:rsidRPr="00217BA7">
        <w:rPr>
          <w:sz w:val="28"/>
          <w:szCs w:val="28"/>
        </w:rPr>
        <w:t xml:space="preserve"> </w:t>
      </w:r>
      <w:r w:rsidR="00217BA7">
        <w:rPr>
          <w:sz w:val="28"/>
          <w:szCs w:val="28"/>
        </w:rPr>
        <w:t>zewnętrznych</w:t>
      </w:r>
    </w:p>
    <w:p w:rsidR="00030EF6" w:rsidRDefault="00030EF6" w:rsidP="00217BA7">
      <w:pPr>
        <w:pageBreakBefore/>
        <w:widowControl w:val="0"/>
        <w:autoSpaceDE w:val="0"/>
        <w:rPr>
          <w:b/>
        </w:rPr>
      </w:pPr>
    </w:p>
    <w:tbl>
      <w:tblPr>
        <w:tblStyle w:val="Tabela-Siatka"/>
        <w:tblW w:w="13674" w:type="dxa"/>
        <w:tblLayout w:type="fixed"/>
        <w:tblLook w:val="0020" w:firstRow="1" w:lastRow="0" w:firstColumn="0" w:lastColumn="0" w:noHBand="0" w:noVBand="0"/>
      </w:tblPr>
      <w:tblGrid>
        <w:gridCol w:w="485"/>
        <w:gridCol w:w="648"/>
        <w:gridCol w:w="694"/>
        <w:gridCol w:w="814"/>
        <w:gridCol w:w="4448"/>
        <w:gridCol w:w="1242"/>
        <w:gridCol w:w="1093"/>
        <w:gridCol w:w="4250"/>
      </w:tblGrid>
      <w:tr w:rsidR="007808F4" w:rsidTr="00FF6E5A">
        <w:trPr>
          <w:trHeight w:val="284"/>
        </w:trPr>
        <w:tc>
          <w:tcPr>
            <w:tcW w:w="2641" w:type="dxa"/>
            <w:gridSpan w:val="4"/>
          </w:tcPr>
          <w:p w:rsidR="007808F4" w:rsidRDefault="007808F4">
            <w:pPr>
              <w:widowControl w:val="0"/>
              <w:autoSpaceDE w:val="0"/>
              <w:snapToGrid w:val="0"/>
              <w:jc w:val="center"/>
            </w:pPr>
            <w:r>
              <w:t>SYMBOLE</w:t>
            </w:r>
            <w:r>
              <w:br/>
              <w:t>KLASYFIK</w:t>
            </w:r>
            <w:bookmarkStart w:id="0" w:name="_GoBack"/>
            <w:bookmarkEnd w:id="0"/>
            <w:r>
              <w:t>ACYJNE</w:t>
            </w:r>
          </w:p>
        </w:tc>
        <w:tc>
          <w:tcPr>
            <w:tcW w:w="4448" w:type="dxa"/>
          </w:tcPr>
          <w:p w:rsidR="007808F4" w:rsidRDefault="007808F4">
            <w:pPr>
              <w:widowControl w:val="0"/>
              <w:autoSpaceDE w:val="0"/>
              <w:snapToGrid w:val="0"/>
              <w:spacing w:before="170" w:after="113"/>
              <w:jc w:val="center"/>
            </w:pPr>
            <w:r>
              <w:t>HASŁA</w:t>
            </w:r>
          </w:p>
          <w:p w:rsidR="007808F4" w:rsidRDefault="007808F4">
            <w:pPr>
              <w:widowControl w:val="0"/>
              <w:autoSpaceDE w:val="0"/>
              <w:spacing w:before="170" w:after="113"/>
              <w:jc w:val="center"/>
            </w:pPr>
            <w:r>
              <w:t>KLASYFIKACYJNE</w:t>
            </w:r>
          </w:p>
        </w:tc>
        <w:tc>
          <w:tcPr>
            <w:tcW w:w="2335" w:type="dxa"/>
            <w:gridSpan w:val="2"/>
          </w:tcPr>
          <w:p w:rsidR="007808F4" w:rsidRDefault="007808F4">
            <w:pPr>
              <w:widowControl w:val="0"/>
              <w:autoSpaceDE w:val="0"/>
              <w:snapToGrid w:val="0"/>
              <w:jc w:val="center"/>
            </w:pPr>
            <w:r>
              <w:t>KATEGORIA</w:t>
            </w:r>
            <w:r>
              <w:br/>
              <w:t>ARCHIWALNA</w:t>
            </w:r>
          </w:p>
        </w:tc>
        <w:tc>
          <w:tcPr>
            <w:tcW w:w="4250" w:type="dxa"/>
          </w:tcPr>
          <w:p w:rsidR="007808F4" w:rsidRDefault="007808F4">
            <w:pPr>
              <w:widowControl w:val="0"/>
              <w:autoSpaceDE w:val="0"/>
              <w:snapToGrid w:val="0"/>
              <w:jc w:val="center"/>
            </w:pPr>
            <w:r>
              <w:t>UWAGI</w:t>
            </w:r>
          </w:p>
        </w:tc>
      </w:tr>
      <w:tr w:rsidR="00217BA7" w:rsidTr="00217BA7">
        <w:trPr>
          <w:trHeight w:val="284"/>
        </w:trPr>
        <w:tc>
          <w:tcPr>
            <w:tcW w:w="485" w:type="dxa"/>
          </w:tcPr>
          <w:p w:rsidR="00217BA7" w:rsidRDefault="00217BA7">
            <w:pPr>
              <w:widowControl w:val="0"/>
              <w:autoSpaceDE w:val="0"/>
              <w:snapToGrid w:val="0"/>
              <w:jc w:val="center"/>
            </w:pPr>
            <w:r>
              <w:t>I</w:t>
            </w:r>
          </w:p>
        </w:tc>
        <w:tc>
          <w:tcPr>
            <w:tcW w:w="648" w:type="dxa"/>
          </w:tcPr>
          <w:p w:rsidR="00217BA7" w:rsidRDefault="00217BA7">
            <w:pPr>
              <w:widowControl w:val="0"/>
              <w:autoSpaceDE w:val="0"/>
              <w:snapToGrid w:val="0"/>
              <w:jc w:val="center"/>
            </w:pPr>
            <w:r>
              <w:t>II</w:t>
            </w:r>
          </w:p>
        </w:tc>
        <w:tc>
          <w:tcPr>
            <w:tcW w:w="694" w:type="dxa"/>
          </w:tcPr>
          <w:p w:rsidR="00217BA7" w:rsidRDefault="00217BA7">
            <w:pPr>
              <w:widowControl w:val="0"/>
              <w:autoSpaceDE w:val="0"/>
              <w:snapToGrid w:val="0"/>
              <w:jc w:val="center"/>
            </w:pPr>
            <w:r>
              <w:t>III</w:t>
            </w:r>
          </w:p>
        </w:tc>
        <w:tc>
          <w:tcPr>
            <w:tcW w:w="814" w:type="dxa"/>
          </w:tcPr>
          <w:p w:rsidR="00217BA7" w:rsidRDefault="00217BA7">
            <w:pPr>
              <w:widowControl w:val="0"/>
              <w:autoSpaceDE w:val="0"/>
              <w:snapToGrid w:val="0"/>
              <w:jc w:val="center"/>
            </w:pPr>
            <w:r>
              <w:t>IV</w:t>
            </w:r>
          </w:p>
        </w:tc>
        <w:tc>
          <w:tcPr>
            <w:tcW w:w="4448" w:type="dxa"/>
          </w:tcPr>
          <w:p w:rsidR="00217BA7" w:rsidRDefault="00217BA7">
            <w:pPr>
              <w:snapToGrid w:val="0"/>
            </w:pPr>
          </w:p>
        </w:tc>
        <w:tc>
          <w:tcPr>
            <w:tcW w:w="1242" w:type="dxa"/>
          </w:tcPr>
          <w:p w:rsidR="00217BA7" w:rsidRDefault="00217BA7">
            <w:pPr>
              <w:widowControl w:val="0"/>
              <w:autoSpaceDE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komórce</w:t>
            </w:r>
            <w:r>
              <w:rPr>
                <w:b/>
                <w:bCs/>
                <w:sz w:val="20"/>
                <w:szCs w:val="20"/>
              </w:rPr>
              <w:br/>
              <w:t>macierzystej</w:t>
            </w:r>
          </w:p>
        </w:tc>
        <w:tc>
          <w:tcPr>
            <w:tcW w:w="1093" w:type="dxa"/>
          </w:tcPr>
          <w:p w:rsidR="00217BA7" w:rsidRDefault="00217BA7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  <w:bCs/>
                <w:sz w:val="20"/>
                <w:szCs w:val="20"/>
              </w:rPr>
              <w:t>W innych</w:t>
            </w:r>
            <w:r>
              <w:rPr>
                <w:b/>
                <w:bCs/>
                <w:sz w:val="20"/>
                <w:szCs w:val="20"/>
              </w:rPr>
              <w:br/>
              <w:t>komórkach</w:t>
            </w:r>
          </w:p>
        </w:tc>
        <w:tc>
          <w:tcPr>
            <w:tcW w:w="4250" w:type="dxa"/>
          </w:tcPr>
          <w:p w:rsidR="00217BA7" w:rsidRDefault="00217BA7">
            <w:pPr>
              <w:widowControl w:val="0"/>
              <w:autoSpaceDE w:val="0"/>
              <w:snapToGrid w:val="0"/>
              <w:jc w:val="center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</w:t>
            </w: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</w:t>
            </w: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</w:t>
            </w: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6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7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8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F51E20">
            <w:pPr>
              <w:widowControl w:val="0"/>
              <w:autoSpaceDE w:val="0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jc w:val="center"/>
            </w:pPr>
            <w:r>
              <w:rPr>
                <w:b/>
              </w:rPr>
              <w:t>ZARZĄDZANIE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00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Gremia kolegialne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Dla każdego organu prowadzi się osobne teczki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000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Rada Naukowa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Regulamin, protokoły posiedzeń , listy obecności, uchwały, opinie, materiały na posiedzenia, nioski , postanowienia,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jc w:val="center"/>
            </w:pPr>
            <w:r>
              <w:t>001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jc w:val="center"/>
            </w:pPr>
            <w:r>
              <w:t>Kolegium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</w:pPr>
            <w:r>
              <w:t>Protokoły posiedzeń , listy obecności, opinie, materiały na posiedzenia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>
              <w:t>002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Komisje stałe i doraźne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Np. Komisja ds. Kadry Naukowej. Uwagi jak w klasie 000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jc w:val="center"/>
              <w:rPr>
                <w:b/>
              </w:rPr>
            </w:pPr>
            <w:r>
              <w:t>003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jc w:val="center"/>
            </w:pPr>
            <w:r>
              <w:t xml:space="preserve">Udział w obcych komisjach i zespołach 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004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Narady (zebrania)  pracowników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Protokoły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01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pStyle w:val="Nagwek1"/>
              <w:snapToGrid w:val="0"/>
            </w:pPr>
            <w:r>
              <w:t xml:space="preserve">Organizacja 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Podstawy prawne działania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Akty prawne dotyczące powołania, reorganizacji, likwidacji własnej jednostki organizacyjnej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Organizacja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Statut, regulamin organizacyjny, rejestracja jednostki,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Organizacja biurowości. Obsługa kancelaryjna Instytutu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0120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Przepisy kancelaryjno-archiwalne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rPr>
                <w:sz w:val="22"/>
                <w:szCs w:val="22"/>
              </w:rPr>
              <w:t>Instrukcja kancelaryjna, instrukcja archiwalna, jednolity rzeczowy wykaz akt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0121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Druki i formularze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Do kategorii A kwalifikuje się własne wzory druków i formularzy. 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0122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Dzienniki korespondencyjne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0123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Dowody doręczeń, opłat pocztowych itp.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Pocztowe książki nadawcze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0124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Centralny rejestr umów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Obsługa kancelaryjna dokumentacji zawierającej informacje niejawne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0130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Rejestr teczek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0131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Dzienniki korespondencyjne dla dokumentacji o różnych klauzulach niejawności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0132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Dziennik wykonanej dokumentacji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Archiwum zakładowe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0140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archiwum zakładowego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Spisy zdawczo–odbiorcze, wykaz spisów zdawczo–odbiorczych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0141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Brakowanie dokumentacji niearchiwalnej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Protokoły oceny dokumentacji niearchiwalnej, spisy dokumentacji niearchiwalnej przeznaczonej do zniszczenia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0142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 xml:space="preserve">Przekazywanie materiałów archiwalnych do PAN Archiwum w Warszawie Oddziału w Katowicach 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Spisy zdawczo–odbiorcze materiałów archiwalnych przekazywanych do PAN Archiwum w Warszawie Oddziału w Katowicach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0143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Kwerendy archiwalne w dokumentacji w archiwum zakładowym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wydawanie zaświadczeń, odpisów, uwierzytelnionych kopii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0144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udostępniania dokumentacji w archiwum zakładowym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B2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Karty udostępnień, rejestr udostępnień,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Biblioteka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0150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zbiorów bibliotecznych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Księga inwentarzowa, księga akcesyjna, księgi ubytków, wykazy prac doktorskich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0151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Gromadzenie zbiorów bibliotecznych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proofErr w:type="spellStart"/>
            <w:r>
              <w:t>Zamówienia,zakupy</w:t>
            </w:r>
            <w:proofErr w:type="spellEnd"/>
            <w:r>
              <w:t>, prenumeraty, dary, wymiana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0152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Udostępnianie zbiorów bibliotecznych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0153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Współpraca międzybiblioteczna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Wymiana pozycji, przesyłanie kopii artykułów,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016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Skargi i wnioski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rejestr skarg i wniosków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02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Akty normatywne. Pomoc prawna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020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Zbiór aktów normatywnych podmiotów zewnętrznych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władz nadrzędnych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021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Zarządzenia Dyrektora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Komplet podpisanych zarządzeń Dyrektora wraz z załącznikami</w:t>
            </w:r>
          </w:p>
          <w:p w:rsidR="00030EF6" w:rsidRDefault="00030EF6">
            <w:pPr>
              <w:widowControl w:val="0"/>
              <w:autoSpaceDE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022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Pełnomocnictwa, upoważnienia, wzory podpisów, podpisy elektroniczne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023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Opinie prawne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024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Sprawy sądowe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Okres przechowywania liczy się od daty uprawomocnienia orzeczenia lub umorzenia sprawy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03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Planowanie i sprawozdawczość. Statystyka. Analizy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030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Programy rozwoju naukowego i gospodarczego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031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Plany wieloletnie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032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Plany roczne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również finansowe plany roczne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033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Sprawozdania roczne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również finansowe sprawozdania roczne, sprawozdania z realizacji planu prac naukowo-badawczych, działalności naukowej, ?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034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Plany i sprawozdania okresowe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również opisowe okresowe plany i sprawozdania finansowe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035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Statystyka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0350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Statystyczne opracowania końcowe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również końcowe finansowe sprawozdania statystyczne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0351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Statystyczne opracowania cząstkowe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również cząstkowe finansowe sprawozdania statystyczne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036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Analizy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Do kategorii A kwalifikuje się analizy własne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04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Informatyzacja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040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Polityka bezpieczeństwa systemów teleinformatycznych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Regulaminy usług, dostęp do systemu, uprawnienia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041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Umowy i licencje na oprogramowanie i systemy teleinformatyczne i klucze szyfrujące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042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 xml:space="preserve">Eksploatacja systemów </w:t>
            </w:r>
            <w:r>
              <w:lastRenderedPageBreak/>
              <w:t>teleinformatycznych i oprogramowania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lastRenderedPageBreak/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Organizacja prac eksploatacyjnych, </w:t>
            </w:r>
            <w:r>
              <w:lastRenderedPageBreak/>
              <w:t>instrukcje eksploatacji systemów, nośników i kopii bezpieczeństwa oraz archiwizowanie oprogramowania i zbiorów danych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043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Zarządzanie i nadzór nad bazami danych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044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Wrocławska Akademicka Sieć Komputerowa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Dokumentacja Rady Użytkowników WASK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045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Użytkowanie w Instytucie komputerów prywatnych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Wnioski o zgodę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046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Użytkowanie oprogramowania Instytutu na komputerach prywatnych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Rejestry zgód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05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Ochrona i udostępnianie informacji ustawowo chronionych oraz informacji publicznej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050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Wyjaśnienia, interpretacje, opinie, akty prawne dotyczące zagadnień z zakresu ochrony i udostępniania informacji ustawowo chronionych oraz informacji publicznej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051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Informacje niejawne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0510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Organizacja systemu ochrony informacji niejawnych oraz wykazu tych informacji dla poszczególnych klauzul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Obsługa kancelaryjna przy klasach 0130-0132, akta postępowań sprawdzających - ?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0511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Bieżące działania podejmowane w zakresie ochrony informacji niejawnych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0512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Udostępnianie informacji niejawnych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052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Ochrona danych osobowych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053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Informacja publiczna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0530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Obsługa merytoryczna Biuletynu Informacji Publicznej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0531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Udostępnianie informacji publicznej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06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Programy i projekty współfinansowane ze środków zewnętrznych, w tym Unii Europejskiej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060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 xml:space="preserve">Wyjaśnienia, interpretacje, opinie, akty </w:t>
            </w:r>
            <w:r>
              <w:lastRenderedPageBreak/>
              <w:t>prawne dotyczące zagadnień z zakresu programów i projektów finansowanych ze środków zewnętrznych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lastRenderedPageBreak/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061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Wnioskowanie o udział w programach i projektach finansowanych ze środków zewnętrznych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062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Realizacja programów i projektów finansowanych ze środków zewnętrznych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Dla każdego projektu zakłada się odrębne teczki z kompletną dokumentacją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07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Reprezentacja i promowanie Instytutu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070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Kontakty ze środkami publicznego przekazu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Informacje własne dla środków publicznego przekazu, odpowiedzi na informacje medialne, konferencje prasowe, wywiady, monitoring środków publicznego przekazu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071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Promocja Instytutu w kraju i za granicą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Programy i plany promocji, akcje promocyjne, udział w obcych wydarzeniach promocyjnych, materiały promocyjne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072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Upowszechnianie informacji o działalności naukowej i dydaktycznej Instytutu oraz popularyzacji nauki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073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Wycieczki i inne przedsięwzięcia prezentujące działalność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08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pStyle w:val="Nagwek1"/>
              <w:snapToGrid w:val="0"/>
            </w:pPr>
            <w:r>
              <w:rPr>
                <w:bCs/>
              </w:rPr>
              <w:t>Kontrola, audyt, szacowanie ryzyka dla realizacji zadań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080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Wyjaśnienia, interpretacje, opinie, akty prawne dotyczące zagadnień z zakresu kontroli, audytu, szacowania ryzyka dla realizacji zadań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Protokoły, sprawozdania z kontroli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081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Kontrole zewnętrzne w Instytucie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082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Kontrole wewnętrzne w Instytucie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083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Książka kontroli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084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Audyty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085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Szacowanie ryzyka dla realizacji zadań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  <w:bCs/>
              </w:rPr>
              <w:t>KADRY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Regulacje oraz wyjaśnienia, interpretacje, opinie, akty prawne dotyczące zagadnień z zakresu spraw kadrowych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100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Własne regulacje, opinie, akty prawne dotyczące zagadnień z zakresu spraw kadrowych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M.in. regulamin wynagradzania, regulamin pracy, regulamin telepracy, regulamin świadczeń socjalnych, regulacje dotyczące zatrudnienia pracowników przy realizacji projektów badawczych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101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Otrzymane od organów i jednostek zewnętrznych regulacje, wyjaśnienia, interpretacje, opinie, akty prawne dotyczące zagadnień z zakresu spraw kadrowych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102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Wykazy etatów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11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Nawiązywanie, przebieg i rozwiązywanie stosunku pracy oraz innych form zatrudnienia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Zapotrzebowanie i nabór kandydatów do pracy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B2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Konkursy na stanowiska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Akta pracowników przyjętych odkłada się do akt osobowych, a dokumentację posiedzeń komisji klasyfikuje się w klasie 002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Opiniowanie i ocenianie osób zatrudnionych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Akta dotyczące konkretnych pracowników odkłada się do akt osobowych danego pracownika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Staże, wolontariat, praktyki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Prace zlecone (umowy cywilno-prawne)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1140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Umowy cywilno-prawne ze składką na ubezpieczenie społeczne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1141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Umowy cywilno-prawne bez składki na ubezpieczenie społeczne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1142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Rejestry umów cywilno-prawnych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Rejestr umów o dzieło dot. grantów i </w:t>
            </w:r>
            <w:r>
              <w:lastRenderedPageBreak/>
              <w:t>projektów oraz rejestr umów o dzieło dot. bezosobowego funduszu płac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Nagradzanie, odznaczanie i karanie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1150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Nagrody, podziękowania, listy gratulacyjne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Akta dotyczące konkretnych pracowników odkłada się do akt osobowych danego pracownika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1151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Odznaczenia państwowe i inne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Akta dotyczące konkretnych pracowników odkłada się do akt osobowych danego pracownika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1152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Karanie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1153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Postępowanie dyscyplinarne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116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Sprawy wojskowe osób zatrudnionych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117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Dostęp osób zatrudnionych do informacji chronionych przepisami prawa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BE20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M.in. akta postępowań sprawdzających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12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Ewidencja osobowa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120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Akta osobowe osób zatrudnionych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121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Pomoce ewidencyjne do akt osobowych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programy i systemy teleinformatyczne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122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Zaświadczenia o zatrudnieniu i wynagrodzeniu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13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Dyscyplina pracy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130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Dowody obecności w pracy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B3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Listy obecności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131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Absencje w pracy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B3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Ewidencja zwolnień lekarskich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132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czasu pracy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133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Delegacje służbowe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B3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ich ewidencja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134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Urlopy osób zatrudnionych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1340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Urlopy wypoczynkowe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B3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1341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Urlopy macierzyńskie, ojcowskie i wychowawcze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B3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1342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Urlopy okolicznościowe i bezpłatne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B3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135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Dodatkowe zatrudnienie pracowników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14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Bezpieczeństwo i higiena pracy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140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Przeglądy warunków i bezpieczeństwa pracy oraz analizy stanu BHP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141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Działania w zakresie zwalczania wypadków, chorób zawodowych, ryzyka w pracy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142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Wypadki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1420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Wypadki przy pracy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Dokumentacja wypadków zbiorowych, śmiertelnych i inwalidzkich jest kwalifikowana do kategorii 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1421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Wypadki w drodze do pracy i z pracy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Dokumentacja wypadków zbiorowych, śmiertelnych i inwalidzkich jest kwalifikowana do kategorii 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143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Warunki szkodliwe i choroby zawodowe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1430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Warunki szkodliwe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1431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Rejestr warunków szkodliwych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B40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1432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Choroby zawodowe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15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Szkolenie i doskonalenie zawodowe osób zatrudnionych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Studia, szkolenia, specjalizacje,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16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Pomoc socjalna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160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Sprawy socjalno-bytowe załatwiane w ramach zakładowego funduszu świadczeń socjalnych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161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Sprawy związane z prowadzeniem stołówki zakładowej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Zamówienia, zestawienia obiadów,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17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Ubezpieczenia społeczne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170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Zgłoszenia do ubezpieczenia społecznego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171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Deklaracje rozliczeniowe ubezpieczenia społecznego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172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Dowody uprawnień do zasiłków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173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Emerytury i renty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174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Ubezpieczenia zbiorowe, pracownicze itp.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18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Opieka zdrowotna. Pracownicza poradnia zdrowia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180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Organizowanie i obsługa opieki zdrowotnej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181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Rejestr badań lekarskich z zakresu medycyny pracy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182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medyczna indywidualna wewnętrzna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B20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Historie zdrowia i choroby pacjentów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183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medyczna zbiorcza wewnętrzna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B20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Księgi i rejestry przychodni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184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Skierowania na badania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185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Zdjęcia rentgenowskie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Zdjęcia przechowywane w historiach zdrowia i choroby przechowuje się przez okres 20 lat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186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orzeczeń lekarskich stwierdzających dopuszczenie osób do pracy w warunkach narażenia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ŚRODKI  RZECZOWE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20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Dokumentacja prawna i techniczna obiektów własnych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Wypisy z księgi wieczystej, dokumentacja kartograficzna, budowlana,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21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Inwestycje i remonty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210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inwestycyjna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Projekty inwestycyjne wraz z dokumentacją formalno-prawną. </w:t>
            </w:r>
          </w:p>
          <w:p w:rsidR="00030EF6" w:rsidRDefault="00F51E20">
            <w:pPr>
              <w:widowControl w:val="0"/>
              <w:autoSpaceDE w:val="0"/>
              <w:snapToGrid w:val="0"/>
            </w:pPr>
            <w:r>
              <w:t>5-letni okres przechowywania liczy się od daty dezaktualizacji dokumentacji lub śmierci technicznej obiektu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211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remontów bieżących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Dokumentacja związana z przygotowaniem i realizacją remontów budynków, lokali i pomieszczeń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22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Administrowanie obiektami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220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Najem pomieszczeń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221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Zarządzanie pokojami gościnnymi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rPr>
                <w:sz w:val="22"/>
                <w:szCs w:val="22"/>
              </w:rPr>
              <w:t>Prowadzenie i obsługa pokoi gościnnych Regulamin pokoi gościnnych – kategoria A.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222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Eksploatacja i konserwacja bieżąca budynków i lokali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Korespondencja dotycząca konserwacji, zaopatrzenia w energię elektryczną, wodę, gaz, ścieki, sprawy oświetlenia i ogrzewania,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223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Nadzór nad bieżącym utrzymaniem czystości i stanem terenu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224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Ubezpieczenia majątkowe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</w:pPr>
            <w:r>
              <w:t xml:space="preserve">M.in. ubezpieczenia od pożaru, </w:t>
            </w:r>
            <w:r>
              <w:lastRenderedPageBreak/>
              <w:t>kradzieży, środków transportu itp. Sprawy odszkodowań.</w:t>
            </w:r>
          </w:p>
          <w:p w:rsidR="00030EF6" w:rsidRDefault="00F51E20">
            <w:pPr>
              <w:widowControl w:val="0"/>
              <w:autoSpaceDE w:val="0"/>
              <w:snapToGrid w:val="0"/>
            </w:pPr>
            <w:r>
              <w:t>Okres przechowywania liczy się od daty wygaśnięcia umowy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225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Ochrona mienia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Plany ochrony obiektów, dokumentacja ochrony, dokumentacja planów na wypadek zagrożenia, ewidencja wyda-</w:t>
            </w:r>
            <w:proofErr w:type="spellStart"/>
            <w:r>
              <w:t>nych</w:t>
            </w:r>
            <w:proofErr w:type="spellEnd"/>
            <w:r>
              <w:t xml:space="preserve"> przepustek, upoważnienia,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226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Ochrona przeciwpożarowa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Instrukcje, plany ochrony ppoż., oświadczenia o przeszkoleniu ppoż., przeglądy sprzętu ppoż.,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23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jc w:val="center"/>
              <w:rPr>
                <w:b/>
              </w:rPr>
            </w:pPr>
            <w:r>
              <w:rPr>
                <w:b/>
              </w:rPr>
              <w:t xml:space="preserve">Zaopatrzenie. </w:t>
            </w:r>
          </w:p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Obsługa materiałowa środków rzeczowych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Dokumentację zakupu aparatury naukowo-badawczej i sprzętu </w:t>
            </w:r>
            <w:proofErr w:type="spellStart"/>
            <w:r>
              <w:t>kompute-rowego</w:t>
            </w:r>
            <w:proofErr w:type="spellEnd"/>
            <w:r>
              <w:t xml:space="preserve"> klasyfikuje się pod symbolem 25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230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Zaopatrzenie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2300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Zapotrzebowania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Prośby o zakup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2301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Zaopatrzenie materiałowe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Zamówienia, reklamacje, korespondencja handlowa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231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Obsługa materiałowa środków rzeczowych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2310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Magazynowanie środków trwałych i nietrwałych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Dowody przychodu i rozchodu materiałowego, kartoteki ilościowo-wartościowe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2311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środków trwałych i małowartościowych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2312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osobistego wyposażenia pracowników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2313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Eksploatacja i likwidacja środków trwałych i przedmiotów nietrwałych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24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Transport, łączność, infrastruktura informatyczna i telekomunikacyjna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240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Zakupy środków i usług transportowych, łączności, pocztowych i kurierskich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241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techniczna pojazdów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242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Karty ewidencyjne pojazdów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243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 xml:space="preserve">Eksploatacja własnych środków </w:t>
            </w:r>
            <w:r>
              <w:lastRenderedPageBreak/>
              <w:t>transportowych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lastRenderedPageBreak/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Rozliczenia zużycia paliwa, karty </w:t>
            </w:r>
            <w:r>
              <w:lastRenderedPageBreak/>
              <w:t>drogowe samochodów, karty eksploatacji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244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Badania techniczne pojazdów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W tym </w:t>
            </w:r>
            <w:proofErr w:type="spellStart"/>
            <w:r>
              <w:t>rejest</w:t>
            </w:r>
            <w:proofErr w:type="spellEnd"/>
            <w:r>
              <w:t xml:space="preserve"> badań technicznych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245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Karty informacyjne kierowców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również wykaz badań kierowców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246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dokumentacji kierowców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247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Eksploatacja środków łączności (telefonów, telefaksów, modemów, łączy internetowych)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248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Organizacja i eksploatacja infrastruktury informatycznej i telekomunikacyjnej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25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Zakup i naprawa aparatury naukowo-badawczej oraz sprzętu i oprogramowania komputerowego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250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Zakup aparatury i sprzętu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2500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Zamówienia publiczne nie objęte Prawem Zamówień Publicznych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B3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2501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Umowy zakupu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251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Naprawa aparatury i sprzętu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2510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Zgłoszenia naprawy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B3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również pokwitowania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2511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Umowy naprawy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252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Gwarancje dotyczące aparatury naukowo-badawczej i sprzętu komputerowego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253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Upoważnienia dotyczące dokonania odprawy celnej związanej z zakupem aparatury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254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 xml:space="preserve">Deklaracje </w:t>
            </w:r>
            <w:proofErr w:type="spellStart"/>
            <w:r>
              <w:t>Instrastat</w:t>
            </w:r>
            <w:proofErr w:type="spellEnd"/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26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Zamówienia publiczne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260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 xml:space="preserve">Akty prawne dotyczące zagadnień z zakresu zamówień </w:t>
            </w:r>
            <w:proofErr w:type="spellStart"/>
            <w:r>
              <w:t>publicznych,wyjaśnienia</w:t>
            </w:r>
            <w:proofErr w:type="spellEnd"/>
            <w:r>
              <w:t>, interpretacje, opinie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261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Oferty dotyczące zamówień publicznych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262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zamówień publicznych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263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 xml:space="preserve">Umowy zawarte w wyniku postępowania </w:t>
            </w:r>
            <w:r>
              <w:lastRenderedPageBreak/>
              <w:t>w trybie zamówień publicznych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lastRenderedPageBreak/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27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Nadzór i zabezpieczenie prawidłowej eksploatacji i ciągłości pracy maszyn, urządzeń, aparatury i instalacji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270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jc w:val="center"/>
            </w:pPr>
            <w:r>
              <w:t xml:space="preserve">Dokumentacja techniczno-ruchowa maszyn </w:t>
            </w:r>
          </w:p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i urządzeń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5-letni okres przechowywania liczy się od daty dezaktualizacji dokumentacji lub wycofania z eksploatacji danego urządzenia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271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z przeglądów dozoru technicznego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272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Serwis i nadzór eksploatacyjny urządzeń i aparatury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28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Ochrona środowiska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Wykazy zawierające zbiorcze zestawienia informacji dot. zakresu korzystania ze środowiska oraz o wysokości należnych opłat, limity na spaliny,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29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Ochrona radiologiczna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Akty prawne dotyczące zagadnień z zakresu bezpieczeństwa jądrowego i ochrony radiologicznej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program bezpieczeństwa jądrowego i ochrony radiologicznej, program zapewnienia jakości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Wnioski i zezwolenia na wykonywanie działalności związanej z narażeniem na promieniowanie jonizujące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źródeł promieniowania jonizującego i źródeł promieniotwórczych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</w:pPr>
            <w:r>
              <w:t>M.in. karty ewidencyjne przychodu i rozchodu źródła promieniotwórczego, karty ewidencyjne otwartego źródła pro</w:t>
            </w:r>
            <w:r>
              <w:softHyphen/>
              <w:t>mieniotwórczego, karty ewidencyjne ru</w:t>
            </w:r>
            <w:r>
              <w:softHyphen/>
              <w:t>chu otwartego źródła promieniotwór</w:t>
            </w:r>
            <w:r>
              <w:softHyphen/>
              <w:t>czego, karty ewidencyjne zamkniętego źródła promieniotwórczego, karty ewi</w:t>
            </w:r>
            <w:r>
              <w:softHyphen/>
              <w:t>dencyjne ruchu zamkniętego źródła pro</w:t>
            </w:r>
            <w:r>
              <w:softHyphen/>
              <w:t>mieniotwórczego, karty ewidencyjne po</w:t>
            </w:r>
            <w:r>
              <w:softHyphen/>
              <w:t>siadanych zamkniętych źródeł promie</w:t>
            </w:r>
            <w:r>
              <w:softHyphen/>
              <w:t>niotwórczych.</w:t>
            </w:r>
          </w:p>
          <w:p w:rsidR="00030EF6" w:rsidRDefault="00F51E20">
            <w:pPr>
              <w:widowControl w:val="0"/>
              <w:autoSpaceDE w:val="0"/>
              <w:snapToGrid w:val="0"/>
            </w:pPr>
            <w:r>
              <w:lastRenderedPageBreak/>
              <w:t>5-letni okres przechowywania liczy się od daty zaprzestania przez Instytut dzia</w:t>
            </w:r>
            <w:r>
              <w:softHyphen/>
              <w:t>łalności związanej ze źródłem promie</w:t>
            </w:r>
            <w:r>
              <w:softHyphen/>
              <w:t>niotwórczym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materiałów jądrowych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</w:pPr>
            <w:r>
              <w:t>Informacje o zmianie ilościowym stanu materiałów jądrowych u użytkownika.</w:t>
            </w:r>
          </w:p>
          <w:p w:rsidR="00030EF6" w:rsidRDefault="00F51E20">
            <w:pPr>
              <w:widowControl w:val="0"/>
              <w:autoSpaceDE w:val="0"/>
              <w:snapToGrid w:val="0"/>
            </w:pPr>
            <w:r>
              <w:t>5-letni okres przechowywania liczy się od daty zaprzestania przez Instytut działalności związanej ze źródłem promieniotwórczym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Ewidencja odpadów promieniotwórczych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5-letni okres przechowywania liczy się od daty zaprzestania przez Instytut działalności związanej ze źródłem promieniotwórczym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Dozymetria i ocena narażenia pracowników na działanie promieniowania jonizującego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2950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Wykaz osób dopuszczonych do pracy w warunkach narażenia na działanie promieniowania jonizującego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decyzje dopuszczające do pracy w warunkach narażenia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2951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Wykaz terenów nadzorowanych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2952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Kontrola i rejestracja dawek indywidualnych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B30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</w:pPr>
            <w:r>
              <w:t>Sprawozdania z badań, rejestry dawek indywidualnych, karty zgłoszeniowe do centralnego rejestru dawek , wnioski – zapytania do centralnego rejestru dawek itp.</w:t>
            </w:r>
          </w:p>
          <w:p w:rsidR="00030EF6" w:rsidRDefault="00F51E20">
            <w:pPr>
              <w:widowControl w:val="0"/>
              <w:autoSpaceDE w:val="0"/>
              <w:snapToGrid w:val="0"/>
            </w:pPr>
            <w:r>
              <w:t>Dokumentację przechowuje się do ukoń</w:t>
            </w:r>
            <w:r>
              <w:softHyphen/>
              <w:t>czenia przez pracownika 75 roku życia, jednak nie krócej niż  30 lat liczone od zakończenia przez niego pracy w warun</w:t>
            </w:r>
            <w:r>
              <w:softHyphen/>
              <w:t>kach narażenia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2953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Kontrola metrologiczna przyrządów dozymetrycznych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Świadectwa wzorcowania przyrządów dozymetrycznych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2954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Protokoły z kontroli dozymetrycznej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2955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 xml:space="preserve">Ewidencja pomiarów dozymetrycznych pracowni izotopowych i </w:t>
            </w:r>
            <w:r>
              <w:lastRenderedPageBreak/>
              <w:t>rentgenograficznych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lastRenderedPageBreak/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2956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Procedury postępowania awaryjnego w przypadku zdarzeń radiacyjnych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2957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Protokoły z kontroli deklarowanej działalności z materiałów jądrowych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EKONOMIKA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30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pStyle w:val="Nagwek1"/>
              <w:snapToGrid w:val="0"/>
            </w:pPr>
            <w:r>
              <w:rPr>
                <w:bCs/>
              </w:rPr>
              <w:t>Podstawowe zasady ekonomiczno-finansowe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regulamin wynagradzania, przyznawania premiowania,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31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Obsługa finansowo-księgowa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Zakupy, wydatki, koszty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Rozliczenie projektów </w:t>
            </w:r>
            <w:proofErr w:type="spellStart"/>
            <w:r>
              <w:t>współfinanso-wanych</w:t>
            </w:r>
            <w:proofErr w:type="spellEnd"/>
            <w:r>
              <w:t xml:space="preserve"> z funduszy Unii Europejskiej kwalifikuje się do kategorii BE10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Sprzedaż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3110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Faktury sprzedaży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3111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Noty księgowe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3112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Faktury wewnętrzne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Dokumenty obrotu środków pieniężnych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3120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Raporty kasowe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3121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Wyciągi bankowe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3122</w:t>
            </w: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Lokaty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 xml:space="preserve">Dokumenty </w:t>
            </w:r>
            <w:proofErr w:type="spellStart"/>
            <w:r>
              <w:t>księgowe-wydruki</w:t>
            </w:r>
            <w:proofErr w:type="spellEnd"/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Dzienniki, zestawienia obrotów sold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Polecenia księgowania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Delegacje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316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Wnioski o płatność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317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Rozliczenia grantów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32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Zobowiązania podatkowe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320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Podatek od nieruchomości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321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Podatek od osób fizycznych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322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Podatek VAT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323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Podatek od osób prawnych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1 rocznie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33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Rozliczenia płac i wynagrodzeń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płac i potrąceń z płac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Listy płac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Kartoteki wynagrodzeń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Deklaracje na PFRON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Zakładowy Fundusz Świadczeń Socjalnych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Oświadczenia pracowników dotyczące kosztów uzyskania przychodów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336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Stypendia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337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Bezosobowy fundusz płac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338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Zasiłki chorobowe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Wnioski, rozliczenia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339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Umowy pożyczek mieszkaniowych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34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Rozliczenia i zaświadczenia ZUS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340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Rozliczenia składek na ubezpieczenie społeczne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341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Raporty ZUS RMUA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342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Zaświadczenia o zatrudnieniu i wynagrodzeniu – druk RP-7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35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Księgowość materiałowo-towarowa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350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magazynowa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Dowody PZ, RW, </w:t>
            </w:r>
            <w:proofErr w:type="spellStart"/>
            <w:r>
              <w:t>Wz</w:t>
            </w:r>
            <w:proofErr w:type="spellEnd"/>
            <w:r>
              <w:t>, Pr, itd.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351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Środki trwałe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Dowody OT, LT, itd.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352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Wartości niematerialne i prawne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Dowody OT, LT, itd.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36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Inwentaryzacja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Spisy i protokoły inwentaryzacyjne, sprawozdania z przebiegu inwentaryza</w:t>
            </w:r>
            <w:r>
              <w:softHyphen/>
              <w:t>cji, różnice inwentaryzacyjne, wycena i przecena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DZIAŁALNOŚĆ NAUKOWO-BADAWCZA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40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 xml:space="preserve"> Akty prawne dotyczące badań naukowych,  wyjaśnienia, interpretacje, opinie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Zasady koordynacji badań naukowych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41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Prace badawcze i rozwojowe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410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Plany badawcze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Plany badań i prac badawczo-rozwojowych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411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Badania naukowe finansowane ze źródeł krajowych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Wnioski, decyzje, umowy, sprawozdania i raporty z badań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412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Badania naukowe finansowane ze źródeł zagranicznych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Wnioski, decyzje, umowy, sprawozdania i raporty z badań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413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Wnioski o finansowanie projektów badawczych i rozwojowych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42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Publikacje własne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</w:pPr>
            <w:r>
              <w:t>Książki, monografie i artykuły przeglądowe, prezentacje konferencyjne, reprinty, itp.  Oraz ewidencja publikacji.</w:t>
            </w:r>
          </w:p>
          <w:p w:rsidR="00030EF6" w:rsidRDefault="00F51E20">
            <w:pPr>
              <w:widowControl w:val="0"/>
              <w:autoSpaceDE w:val="0"/>
              <w:snapToGrid w:val="0"/>
            </w:pPr>
            <w:r>
              <w:t xml:space="preserve">Publikacje zarówno na nośniku </w:t>
            </w:r>
            <w:proofErr w:type="spellStart"/>
            <w:r>
              <w:t>papiero-wym</w:t>
            </w:r>
            <w:proofErr w:type="spellEnd"/>
            <w:r>
              <w:t xml:space="preserve"> jak i w postaci elektronicznej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43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Patenty naukowe. Ochrona patentowa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ewidencja projektów wynalazczych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44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Naukowe bazy danych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? 043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45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Konferencje, zjazdy, sympozja i seminaria naukowe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450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Konferencje, zjazdy, sympozja i seminaria własne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również konferencje międzynarodowe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451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Udział w obcych konferencjach, zjazdach, sympozjach  i seminariach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 tym również udział w konferencjach zagranicznych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452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Koordynowanie Dolnośląskiego Festiwalu Nauki w Instytucie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46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Krajowa współpraca naukowa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Umowy i porozumienia z uczelniami, in</w:t>
            </w:r>
            <w:r>
              <w:softHyphen/>
              <w:t>stytutami badawczymi i towarzystwami naukowymi w zakresie badań nauko</w:t>
            </w:r>
            <w:r>
              <w:softHyphen/>
              <w:t>wych, prac rozwojowych, tworzenie konsorcjów i sieci naukowych  (np. umowy z Wrocławskim Centrum Badań, umowy konsorcjum, porozumienia w sprawie sieci naukowej itp.) oraz doku</w:t>
            </w:r>
            <w:r>
              <w:softHyphen/>
              <w:t>mentacja związana z realizacją tych umów i porozumień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47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Współpraca naukowa z zagranicą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470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Umowy i porozumienia dotyczące bezpośredniej współpracy międzynarodowej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471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Zagraniczne wyjazdy naukowe pracowników Instytutu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rPr>
                <w:sz w:val="22"/>
                <w:szCs w:val="22"/>
              </w:rPr>
              <w:t>Dokumentacja obsługi wyjazdów — organi</w:t>
            </w:r>
            <w:r>
              <w:rPr>
                <w:sz w:val="22"/>
                <w:szCs w:val="22"/>
              </w:rPr>
              <w:softHyphen/>
              <w:t>zowanie podróży, załatwianie wiz, przepro</w:t>
            </w:r>
            <w:r>
              <w:rPr>
                <w:sz w:val="22"/>
                <w:szCs w:val="22"/>
              </w:rPr>
              <w:softHyphen/>
              <w:t>wadzanie operacji bankowych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472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Przyjazdy gości zagranicznych w celach naukowych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Organizowanie pobytu gości zagranicznych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473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Sprawozdania z zagranicznych wyjazdów służbowych pracowników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474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Raporty ze współpracy z zagranicą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jc w:val="center"/>
              <w:rPr>
                <w:b/>
              </w:rPr>
            </w:pPr>
            <w:r>
              <w:rPr>
                <w:b/>
              </w:rPr>
              <w:t>KSZTAŁCENIE PRACOWNIKÓW NAUKOWYCH.</w:t>
            </w:r>
          </w:p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ROZWÓJ KADRY NAUKOWEJ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50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Wyjaśnienia, interpretacje, opinie, akty prawne dotyczące zagadnień z zakresu kształcenia i rozwoju kadry naukowej oraz dydaktyki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51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Doktoraty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510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Zasady nadawania stopnia doktora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511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Studia doktoranckie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Założenia organizacyjno-programowe i organizacja studiów, programy i plany studiów, rekrutacja, dzienniki, słuchaczy studiów doktoranckich itp.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512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Stypendia doktorskie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513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Umowy o zwrot kosztów przewodów doktorskich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514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przewodów doktorskich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Dla każdej osoby zakłada się odrębne teczki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515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Rejestr stopni doktorskich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52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Habilitacje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520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Zasady nadawania stopnia doktora habilitowanego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521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Stypendia habilitacyjne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522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Dokumentacja przewodów habilitacyjnych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Dla każdej osoby zakłada się odrębne teczki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523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Rejestr habilitacji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53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Profesury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530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Zasady postępowania o nadanie tytułu profesora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531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jc w:val="center"/>
            </w:pPr>
            <w:r>
              <w:t>Dokumentacja dotycząca postępowania o nadanie tytułu profesora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Dla każdej osoby zakłada się odrębne teczki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54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Studia podyplomowe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540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Programy i plany studiów podyplomowych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541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Realizacja procesu dydaktycznego studiów podyplomowych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542</w:t>
            </w: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Akta słuchaczy studiów podyplomowych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BE50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—</w:t>
            </w: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55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Inna działalność z zakresu kształcenia pracowników naukowych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Np. programy stypendialne dla młodych naukowców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48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DZIAŁALNOŚĆ METROLOGICZNA I GOSPODARCZO-USŁUGOWA</w:t>
            </w:r>
          </w:p>
        </w:tc>
        <w:tc>
          <w:tcPr>
            <w:tcW w:w="1242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1093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60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Wdrażanie i utrzymywanie systemu zarządzania jakością w Laboratorium Wzorca Temperatury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Dokumentacja systemu zarządzania jakością – księga jakości, procedury, instrukcje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61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Pr="00F51E20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Utrzymywanie państwowego wzorca jednostki temperatury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lang w:val="en-US"/>
              </w:rPr>
              <w:t>A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61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Pr="00F51E20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Prace usługowe w zakresie pomiarów temperatury /wzorcowania urządzeń do pomiaru temperatury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lang w:val="en-US"/>
              </w:rP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F51E20">
            <w:pPr>
              <w:widowControl w:val="0"/>
              <w:autoSpaceDE w:val="0"/>
              <w:snapToGrid w:val="0"/>
            </w:pPr>
            <w:r>
              <w:t>Wzorcowanie termometrów, komórek termometrycznych i mierników tempera-tury w zakresie niskich temperatur</w:t>
            </w: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62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  <w:rPr>
                <w:lang w:val="en-US"/>
              </w:rPr>
            </w:pPr>
            <w:r>
              <w:rPr>
                <w:b/>
              </w:rPr>
              <w:t>Produkcja aparatury i urządzeń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lang w:val="en-US"/>
              </w:rP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  <w:tr w:rsidR="00030EF6" w:rsidTr="00217BA7">
        <w:trPr>
          <w:trHeight w:val="284"/>
        </w:trPr>
        <w:tc>
          <w:tcPr>
            <w:tcW w:w="485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648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63</w:t>
            </w:r>
          </w:p>
        </w:tc>
        <w:tc>
          <w:tcPr>
            <w:tcW w:w="69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814" w:type="dxa"/>
          </w:tcPr>
          <w:p w:rsidR="00030EF6" w:rsidRDefault="00030EF6">
            <w:pPr>
              <w:widowControl w:val="0"/>
              <w:autoSpaceDE w:val="0"/>
              <w:snapToGrid w:val="0"/>
              <w:jc w:val="center"/>
            </w:pPr>
          </w:p>
        </w:tc>
        <w:tc>
          <w:tcPr>
            <w:tcW w:w="4448" w:type="dxa"/>
          </w:tcPr>
          <w:p w:rsidR="00030EF6" w:rsidRPr="00F51E20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b/>
              </w:rPr>
              <w:t>Produkcja, magazynowanie oraz wydawanie ciekłego helu, azotu i gazowego helu dla odbiorców zewnętrznych</w:t>
            </w:r>
          </w:p>
        </w:tc>
        <w:tc>
          <w:tcPr>
            <w:tcW w:w="1242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r>
              <w:rPr>
                <w:lang w:val="en-US"/>
              </w:rPr>
              <w:t>BE10</w:t>
            </w:r>
          </w:p>
        </w:tc>
        <w:tc>
          <w:tcPr>
            <w:tcW w:w="1093" w:type="dxa"/>
          </w:tcPr>
          <w:p w:rsidR="00030EF6" w:rsidRDefault="00F51E20">
            <w:pPr>
              <w:widowControl w:val="0"/>
              <w:autoSpaceDE w:val="0"/>
              <w:snapToGrid w:val="0"/>
              <w:jc w:val="center"/>
            </w:pPr>
            <w:proofErr w:type="spellStart"/>
            <w:r>
              <w:t>Bc</w:t>
            </w:r>
            <w:proofErr w:type="spellEnd"/>
          </w:p>
        </w:tc>
        <w:tc>
          <w:tcPr>
            <w:tcW w:w="4250" w:type="dxa"/>
          </w:tcPr>
          <w:p w:rsidR="00030EF6" w:rsidRDefault="00030EF6">
            <w:pPr>
              <w:widowControl w:val="0"/>
              <w:autoSpaceDE w:val="0"/>
              <w:snapToGrid w:val="0"/>
            </w:pPr>
          </w:p>
        </w:tc>
      </w:tr>
    </w:tbl>
    <w:p w:rsidR="00030EF6" w:rsidRDefault="00030EF6"/>
    <w:sectPr w:rsidR="00030EF6">
      <w:footerReference w:type="default" r:id="rId8"/>
      <w:footerReference w:type="first" r:id="rId9"/>
      <w:pgSz w:w="15840" w:h="12240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EF6" w:rsidRDefault="00F51E20">
      <w:r>
        <w:separator/>
      </w:r>
    </w:p>
  </w:endnote>
  <w:endnote w:type="continuationSeparator" w:id="0">
    <w:p w:rsidR="00030EF6" w:rsidRDefault="00F5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altName w:val="Verdana"/>
    <w:charset w:val="00"/>
    <w:family w:val="auto"/>
    <w:pitch w:val="variable"/>
  </w:font>
  <w:font w:name="Lohit Hindi">
    <w:altName w:val="Yu Gothic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EF6" w:rsidRDefault="00F51E20">
    <w:pPr>
      <w:pStyle w:val="Stopka"/>
      <w:ind w:right="360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EF6" w:rsidRDefault="00030E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EF6" w:rsidRDefault="00F51E20">
      <w:r>
        <w:separator/>
      </w:r>
    </w:p>
  </w:footnote>
  <w:footnote w:type="continuationSeparator" w:id="0">
    <w:p w:rsidR="00030EF6" w:rsidRDefault="00F51E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E20"/>
    <w:rsid w:val="00030EF6"/>
    <w:rsid w:val="00217BA7"/>
    <w:rsid w:val="007808F4"/>
    <w:rsid w:val="008634DC"/>
    <w:rsid w:val="009B2B71"/>
    <w:rsid w:val="00B11E1B"/>
    <w:rsid w:val="00F5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6FE2838-E835-4D0D-B652-F8ED4A3D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widowControl w:val="0"/>
      <w:numPr>
        <w:numId w:val="1"/>
      </w:numPr>
      <w:autoSpaceDE w:val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basedOn w:val="Domylnaczcionkaakapitu1"/>
    <w:rPr>
      <w:sz w:val="24"/>
      <w:szCs w:val="24"/>
    </w:rPr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Tekstpodstawowy">
    <w:name w:val="Body Text"/>
    <w:basedOn w:val="Normalny"/>
    <w:pPr>
      <w:widowControl w:val="0"/>
      <w:autoSpaceDE w:val="0"/>
      <w:jc w:val="center"/>
    </w:pPr>
    <w:rPr>
      <w:b/>
    </w:rPr>
  </w:style>
  <w:style w:type="paragraph" w:styleId="Lista">
    <w:name w:val="List"/>
    <w:basedOn w:val="Tekstpodstawowy"/>
    <w:rPr>
      <w:rFonts w:cs="Lohit Hind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Zawartolisty">
    <w:name w:val="Zawartość listy"/>
    <w:basedOn w:val="Normalny"/>
    <w:pPr>
      <w:ind w:left="567"/>
    </w:pPr>
  </w:style>
  <w:style w:type="table" w:styleId="Tabela-Siatka">
    <w:name w:val="Table Grid"/>
    <w:basedOn w:val="Standardowy"/>
    <w:uiPriority w:val="39"/>
    <w:rsid w:val="00217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9E330-39DA-4719-81DA-654AE66D5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22</Pages>
  <Words>4109</Words>
  <Characters>24655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JEDNOLITY RZECZOWY WYKAZ AKT</vt:lpstr>
    </vt:vector>
  </TitlesOfParts>
  <Company>INTiBS PAN</Company>
  <LinksUpToDate>false</LinksUpToDate>
  <CharactersWithSpaces>28707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JEDNOLITY RZECZOWY WYKAZ AKT</dc:title>
  <dc:subject>wykaz akt</dc:subject>
  <dc:creator>E. Billing</dc:creator>
  <cp:keywords/>
  <cp:lastModifiedBy>Iwona Śliwińska</cp:lastModifiedBy>
  <cp:revision>7</cp:revision>
  <cp:lastPrinted>2015-05-21T07:30:00Z</cp:lastPrinted>
  <dcterms:created xsi:type="dcterms:W3CDTF">2021-07-19T08:56:00Z</dcterms:created>
  <dcterms:modified xsi:type="dcterms:W3CDTF">2021-07-19T09:06:00Z</dcterms:modified>
</cp:coreProperties>
</file>