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A8F" w:rsidRPr="00961E90" w:rsidRDefault="00961E90" w:rsidP="00961E90">
      <w:pPr>
        <w:pStyle w:val="Nagwek1"/>
        <w:rPr>
          <w:rFonts w:cs="Open Sans"/>
        </w:rPr>
      </w:pPr>
      <w:r w:rsidRPr="00961E90">
        <w:rPr>
          <w:rFonts w:eastAsia="Calibri" w:cs="Open Sans"/>
        </w:rPr>
        <w:t xml:space="preserve">Aneks do </w:t>
      </w:r>
    </w:p>
    <w:p w:rsidR="00582A8F" w:rsidRPr="00961E90" w:rsidRDefault="00961E90" w:rsidP="00961E90">
      <w:pPr>
        <w:pStyle w:val="Nagwek1"/>
        <w:rPr>
          <w:rFonts w:cs="Open Sans"/>
        </w:rPr>
      </w:pPr>
      <w:r w:rsidRPr="00961E90">
        <w:rPr>
          <w:rFonts w:eastAsia="Calibri" w:cs="Open Sans"/>
        </w:rPr>
        <w:t xml:space="preserve">REGULAMINU KOMERCJALIZACJI WŁASNOŚCI INTELEKTUALNEJ,  </w:t>
      </w:r>
    </w:p>
    <w:p w:rsidR="00582A8F" w:rsidRPr="00961E90" w:rsidRDefault="00961E90" w:rsidP="00961E90">
      <w:pPr>
        <w:pStyle w:val="Nagwek1"/>
        <w:rPr>
          <w:rFonts w:cs="Open Sans"/>
        </w:rPr>
      </w:pPr>
      <w:r w:rsidRPr="00961E90">
        <w:rPr>
          <w:rFonts w:eastAsia="Calibri" w:cs="Open Sans"/>
        </w:rPr>
        <w:t xml:space="preserve">REGULAMINU WYNAGRADZANIA TWÓRCÓW I POLITYKI TRANSFERU TECHNOLOGII w Instytucie Niskich Temperatur i Badań Strukturalnych im. Włodzimierza Trzebiatowskiego Polskiej Akademii Nauk </w:t>
      </w:r>
    </w:p>
    <w:p w:rsidR="00582A8F" w:rsidRPr="00961E90" w:rsidRDefault="00961E90" w:rsidP="00961E90">
      <w:pPr>
        <w:pStyle w:val="Nagwek2"/>
        <w:spacing w:before="360"/>
        <w:rPr>
          <w:rFonts w:cs="Open Sans"/>
        </w:rPr>
      </w:pPr>
      <w:r w:rsidRPr="00961E90">
        <w:rPr>
          <w:rFonts w:eastAsia="Calibri" w:cs="Open Sans"/>
        </w:rPr>
        <w:t xml:space="preserve"> </w:t>
      </w:r>
      <w:r w:rsidRPr="00961E90">
        <w:rPr>
          <w:rFonts w:eastAsia="Calibri" w:cs="Open Sans"/>
        </w:rPr>
        <w:t xml:space="preserve">§ 1 </w:t>
      </w:r>
    </w:p>
    <w:p w:rsidR="00582A8F" w:rsidRPr="00961E90" w:rsidRDefault="00961E90" w:rsidP="00961E90">
      <w:pPr>
        <w:spacing w:after="0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W regulaminie komercjalizacji własności intelektualnej, regulaminie wynagradzania twórców i polityce transferu technologii z 20 lutego 2015 r. (zwanym dalej Regulaminem) wprowadza się następujące zmiany w 17: </w:t>
      </w:r>
    </w:p>
    <w:p w:rsidR="00582A8F" w:rsidRPr="00961E90" w:rsidRDefault="00961E90" w:rsidP="00961E90">
      <w:pPr>
        <w:numPr>
          <w:ilvl w:val="0"/>
          <w:numId w:val="1"/>
        </w:numPr>
        <w:spacing w:before="240" w:after="240" w:line="360" w:lineRule="auto"/>
        <w:ind w:left="357" w:hanging="357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Ust. 1 przyjmuje brzmienie: </w:t>
      </w:r>
    </w:p>
    <w:p w:rsidR="00582A8F" w:rsidRPr="00961E90" w:rsidRDefault="00961E90" w:rsidP="00961E90">
      <w:pPr>
        <w:spacing w:after="0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 </w:t>
      </w:r>
      <w:r w:rsidRPr="00961E90">
        <w:rPr>
          <w:rFonts w:ascii="Open Sans" w:hAnsi="Open Sans" w:cs="Open Sans"/>
          <w:b/>
          <w:sz w:val="24"/>
        </w:rPr>
        <w:t>Prawa należąc</w:t>
      </w:r>
      <w:r w:rsidRPr="00961E90">
        <w:rPr>
          <w:rFonts w:ascii="Open Sans" w:hAnsi="Open Sans" w:cs="Open Sans"/>
          <w:b/>
          <w:sz w:val="24"/>
        </w:rPr>
        <w:t xml:space="preserve">e do Instytutu  </w:t>
      </w:r>
    </w:p>
    <w:p w:rsidR="00582A8F" w:rsidRPr="00961E90" w:rsidRDefault="00961E90" w:rsidP="00961E90">
      <w:pPr>
        <w:spacing w:after="0" w:line="250" w:lineRule="auto"/>
        <w:ind w:left="718" w:hanging="10"/>
        <w:jc w:val="both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Zasadą jest partycypacja w korzyściach z komercjalizacji Rozwiązania naukowego, do którego prawa własności intelektualnej należą w całości do Instytutu, w proporcji:  </w:t>
      </w:r>
    </w:p>
    <w:p w:rsidR="00582A8F" w:rsidRPr="00961E90" w:rsidRDefault="00961E90">
      <w:pPr>
        <w:numPr>
          <w:ilvl w:val="1"/>
          <w:numId w:val="2"/>
        </w:numPr>
        <w:spacing w:after="27" w:line="250" w:lineRule="auto"/>
        <w:ind w:hanging="336"/>
        <w:jc w:val="both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50% dla Twórcy,   </w:t>
      </w:r>
    </w:p>
    <w:p w:rsidR="00582A8F" w:rsidRPr="00961E90" w:rsidRDefault="00961E90">
      <w:pPr>
        <w:numPr>
          <w:ilvl w:val="1"/>
          <w:numId w:val="2"/>
        </w:numPr>
        <w:spacing w:after="0"/>
        <w:ind w:hanging="336"/>
        <w:jc w:val="both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30% dla Instytutu,  </w:t>
      </w:r>
    </w:p>
    <w:p w:rsidR="00582A8F" w:rsidRPr="00961E90" w:rsidRDefault="00961E90">
      <w:pPr>
        <w:numPr>
          <w:ilvl w:val="1"/>
          <w:numId w:val="2"/>
        </w:numPr>
        <w:spacing w:after="26" w:line="250" w:lineRule="auto"/>
        <w:ind w:hanging="336"/>
        <w:jc w:val="both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20% dla Spółki celowej.  </w:t>
      </w:r>
    </w:p>
    <w:p w:rsidR="00582A8F" w:rsidRPr="00961E90" w:rsidRDefault="00961E90">
      <w:pPr>
        <w:spacing w:after="13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 </w:t>
      </w:r>
    </w:p>
    <w:p w:rsidR="00582A8F" w:rsidRPr="00961E90" w:rsidRDefault="00961E90">
      <w:pPr>
        <w:numPr>
          <w:ilvl w:val="0"/>
          <w:numId w:val="1"/>
        </w:numPr>
        <w:spacing w:after="0"/>
        <w:ind w:hanging="360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Ust. 2 przyjmuje brzmienie: </w:t>
      </w:r>
    </w:p>
    <w:p w:rsidR="00582A8F" w:rsidRPr="00961E90" w:rsidRDefault="00961E90" w:rsidP="00961E90">
      <w:pPr>
        <w:spacing w:before="240" w:after="0"/>
        <w:ind w:left="357" w:hanging="11"/>
        <w:rPr>
          <w:rFonts w:ascii="Open Sans" w:hAnsi="Open Sans" w:cs="Open Sans"/>
        </w:rPr>
      </w:pPr>
      <w:r w:rsidRPr="00961E90">
        <w:rPr>
          <w:rFonts w:ascii="Open Sans" w:hAnsi="Open Sans" w:cs="Open Sans"/>
          <w:b/>
          <w:sz w:val="24"/>
        </w:rPr>
        <w:t>Podział korzyści przypadających Instytut</w:t>
      </w:r>
      <w:bookmarkStart w:id="0" w:name="_GoBack"/>
      <w:bookmarkEnd w:id="0"/>
      <w:r w:rsidRPr="00961E90">
        <w:rPr>
          <w:rFonts w:ascii="Open Sans" w:hAnsi="Open Sans" w:cs="Open Sans"/>
          <w:b/>
          <w:sz w:val="24"/>
        </w:rPr>
        <w:t xml:space="preserve">owi  </w:t>
      </w:r>
    </w:p>
    <w:p w:rsidR="00582A8F" w:rsidRPr="00961E90" w:rsidRDefault="00961E90">
      <w:pPr>
        <w:spacing w:after="0" w:line="250" w:lineRule="auto"/>
        <w:ind w:left="718" w:hanging="10"/>
        <w:jc w:val="both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W braku odrębnych ustaleń, korzyści z komercjalizacji Rozwiązania naukowego w ramach Instytutu pozostają w dyspozycji Dyrektora instytutu. </w:t>
      </w:r>
    </w:p>
    <w:p w:rsidR="00582A8F" w:rsidRPr="00961E90" w:rsidRDefault="00961E90" w:rsidP="00961E90">
      <w:pPr>
        <w:pStyle w:val="Nagwek2"/>
        <w:spacing w:before="360"/>
      </w:pPr>
      <w:r w:rsidRPr="00961E90">
        <w:rPr>
          <w:rFonts w:eastAsia="Calibri" w:cs="Open Sans"/>
        </w:rPr>
        <w:t xml:space="preserve"> </w:t>
      </w:r>
      <w:r w:rsidRPr="00961E90">
        <w:rPr>
          <w:rFonts w:eastAsia="Calibri"/>
        </w:rPr>
        <w:t xml:space="preserve">§ 2 </w:t>
      </w:r>
    </w:p>
    <w:p w:rsidR="00582A8F" w:rsidRPr="00961E90" w:rsidRDefault="00961E90" w:rsidP="00961E90">
      <w:pPr>
        <w:spacing w:after="0"/>
        <w:rPr>
          <w:rFonts w:ascii="Open Sans" w:hAnsi="Open Sans" w:cs="Open Sans"/>
        </w:rPr>
      </w:pPr>
      <w:r w:rsidRPr="00961E90">
        <w:rPr>
          <w:rFonts w:ascii="Open Sans" w:hAnsi="Open Sans" w:cs="Open Sans"/>
          <w:sz w:val="24"/>
        </w:rPr>
        <w:t xml:space="preserve"> </w:t>
      </w:r>
      <w:r w:rsidRPr="00961E90">
        <w:rPr>
          <w:rFonts w:ascii="Open Sans" w:hAnsi="Open Sans" w:cs="Open Sans"/>
          <w:sz w:val="24"/>
        </w:rPr>
        <w:t>Zmiany wchodzą w życie z dniem</w:t>
      </w:r>
      <w:r w:rsidRPr="00961E90">
        <w:rPr>
          <w:rFonts w:ascii="Open Sans" w:hAnsi="Open Sans" w:cs="Open Sans"/>
          <w:sz w:val="24"/>
        </w:rPr>
        <w:t xml:space="preserve"> przyjęcia przez Radę Naukową Instytutu. </w:t>
      </w:r>
    </w:p>
    <w:p w:rsidR="00961E90" w:rsidRPr="00961E90" w:rsidRDefault="00961E90">
      <w:pPr>
        <w:spacing w:after="0" w:line="250" w:lineRule="auto"/>
        <w:ind w:left="-5" w:hanging="10"/>
        <w:jc w:val="both"/>
        <w:rPr>
          <w:rFonts w:ascii="Open Sans" w:hAnsi="Open Sans" w:cs="Open Sans"/>
        </w:rPr>
      </w:pPr>
    </w:p>
    <w:sectPr w:rsidR="00961E90" w:rsidRPr="00961E90">
      <w:pgSz w:w="11899" w:h="16841"/>
      <w:pgMar w:top="1440" w:right="1413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3C6FF0"/>
    <w:multiLevelType w:val="hybridMultilevel"/>
    <w:tmpl w:val="44667F9C"/>
    <w:lvl w:ilvl="0" w:tplc="EA8806E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0A96A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0C9F8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F6A9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4CF82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5469D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327E3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A6C3A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6512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097C44"/>
    <w:multiLevelType w:val="hybridMultilevel"/>
    <w:tmpl w:val="1D64F46E"/>
    <w:lvl w:ilvl="0" w:tplc="D8FCFC2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48BD26">
      <w:start w:val="1"/>
      <w:numFmt w:val="bullet"/>
      <w:lvlRestart w:val="0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4297C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5E291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FC8108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0A941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7A808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340E9A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4A85A2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A8F"/>
    <w:rsid w:val="00582A8F"/>
    <w:rsid w:val="0096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17B00"/>
  <w15:docId w15:val="{A3F3202A-CCB8-4D7F-8712-0B54C984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1E90"/>
    <w:pPr>
      <w:keepNext/>
      <w:keepLines/>
      <w:spacing w:after="0"/>
      <w:jc w:val="center"/>
      <w:outlineLvl w:val="0"/>
    </w:pPr>
    <w:rPr>
      <w:rFonts w:ascii="Open Sans" w:eastAsiaTheme="majorEastAsia" w:hAnsi="Open Sans" w:cstheme="majorBidi"/>
      <w:color w:val="auto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1E90"/>
    <w:pPr>
      <w:keepNext/>
      <w:keepLines/>
      <w:spacing w:before="160" w:after="120"/>
      <w:jc w:val="center"/>
      <w:outlineLvl w:val="1"/>
    </w:pPr>
    <w:rPr>
      <w:rFonts w:ascii="Open Sans" w:eastAsiaTheme="majorEastAsia" w:hAnsi="Open Sans" w:cstheme="majorBidi"/>
      <w:color w:val="auto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1E90"/>
    <w:rPr>
      <w:rFonts w:ascii="Open Sans" w:eastAsiaTheme="majorEastAsia" w:hAnsi="Open Sans" w:cstheme="majorBidi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61E90"/>
    <w:rPr>
      <w:rFonts w:ascii="Open Sans" w:eastAsiaTheme="majorEastAsia" w:hAnsi="Open Sans" w:cstheme="majorBidi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do Regulaminu komercjalizacji własności intelektualnej w INTiBS PAN</dc:title>
  <dc:subject/>
  <dc:creator>Tomasz Zaleski</dc:creator>
  <cp:keywords>Regulamin INTiBS PAN</cp:keywords>
  <cp:lastModifiedBy>Iwona Śliwińska</cp:lastModifiedBy>
  <cp:revision>2</cp:revision>
  <dcterms:created xsi:type="dcterms:W3CDTF">2021-04-26T10:19:00Z</dcterms:created>
  <dcterms:modified xsi:type="dcterms:W3CDTF">2021-04-26T10:19:00Z</dcterms:modified>
</cp:coreProperties>
</file>