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6403E" w14:textId="0C6FDD33" w:rsidR="0002537A" w:rsidRDefault="0002537A">
      <w:pPr>
        <w:pStyle w:val="Tytu"/>
      </w:pPr>
      <w:r>
        <w:t>UCHWAŁA</w:t>
      </w:r>
      <w:r w:rsidR="005A7D79">
        <w:t xml:space="preserve"> Nr </w:t>
      </w:r>
      <w:r w:rsidR="00B8669A">
        <w:t>47</w:t>
      </w:r>
      <w:r w:rsidR="005A7D79">
        <w:t>/202</w:t>
      </w:r>
      <w:r w:rsidR="005F7110">
        <w:t>2</w:t>
      </w:r>
    </w:p>
    <w:p w14:paraId="459B81A9" w14:textId="77777777" w:rsidR="0002537A" w:rsidRDefault="0002537A">
      <w:pPr>
        <w:pStyle w:val="Podtytu"/>
      </w:pPr>
      <w:r>
        <w:t xml:space="preserve">Rady Naukowej Instytutu Niskich Temperatur i Badań Strukturalnych </w:t>
      </w:r>
    </w:p>
    <w:p w14:paraId="79CA030A" w14:textId="77777777" w:rsidR="0002537A" w:rsidRDefault="0002537A">
      <w:pPr>
        <w:pStyle w:val="Podtytu"/>
      </w:pPr>
      <w:r>
        <w:t>im. Włodzimierza Trzebiatowskiego Polskiej Akademii Nauk we Wrocławiu</w:t>
      </w:r>
    </w:p>
    <w:p w14:paraId="13612CA2" w14:textId="1815FCC3" w:rsidR="0002537A" w:rsidRDefault="005A7D79" w:rsidP="00B91D43">
      <w:pPr>
        <w:pStyle w:val="Tekstpodstawowy"/>
        <w:jc w:val="center"/>
      </w:pPr>
      <w:r>
        <w:t xml:space="preserve">z dnia </w:t>
      </w:r>
      <w:r w:rsidR="009304D3">
        <w:t>24</w:t>
      </w:r>
      <w:r w:rsidR="00EF7388" w:rsidRPr="00BE3393">
        <w:t xml:space="preserve"> </w:t>
      </w:r>
      <w:r w:rsidR="000A5A19">
        <w:t xml:space="preserve">listopada </w:t>
      </w:r>
      <w:r>
        <w:t>202</w:t>
      </w:r>
      <w:r w:rsidR="005F7110">
        <w:t>2</w:t>
      </w:r>
      <w:r>
        <w:t xml:space="preserve"> r.</w:t>
      </w:r>
    </w:p>
    <w:p w14:paraId="11F9FB0D" w14:textId="77777777" w:rsidR="0002537A" w:rsidRDefault="0002537A">
      <w:pPr>
        <w:pStyle w:val="Podtytu"/>
      </w:pPr>
      <w:r>
        <w:t xml:space="preserve"> </w:t>
      </w:r>
    </w:p>
    <w:p w14:paraId="3E20DE0A" w14:textId="0583D37B" w:rsidR="0002537A" w:rsidRDefault="0002537A" w:rsidP="0071768D">
      <w:pPr>
        <w:ind w:right="-142"/>
        <w:jc w:val="center"/>
        <w:rPr>
          <w:b/>
          <w:sz w:val="24"/>
        </w:rPr>
      </w:pPr>
      <w:r>
        <w:rPr>
          <w:b/>
          <w:sz w:val="24"/>
        </w:rPr>
        <w:t xml:space="preserve">w sprawie </w:t>
      </w:r>
      <w:r w:rsidR="005A7D79" w:rsidRPr="005A7D79">
        <w:rPr>
          <w:b/>
          <w:sz w:val="24"/>
          <w:lang w:bidi="pl-PL"/>
        </w:rPr>
        <w:t>przyjęcia zmian</w:t>
      </w:r>
      <w:r w:rsidR="0071768D">
        <w:rPr>
          <w:b/>
          <w:sz w:val="24"/>
          <w:lang w:bidi="pl-PL"/>
        </w:rPr>
        <w:t xml:space="preserve"> w regulaminie </w:t>
      </w:r>
      <w:r w:rsidR="0071768D" w:rsidRPr="00931C07">
        <w:rPr>
          <w:b/>
          <w:bCs/>
          <w:sz w:val="24"/>
        </w:rPr>
        <w:t xml:space="preserve">przeprowadzania postępowania w sprawie nadania stopnia naukowego doktora w Instytucie Niskich Temperatur i Badań Strukturalnych im. Włodzimierza Trzebiatowskiego Polskiej Akademii Nauk </w:t>
      </w:r>
      <w:r w:rsidR="00B91D43">
        <w:rPr>
          <w:b/>
          <w:bCs/>
          <w:sz w:val="24"/>
        </w:rPr>
        <w:br/>
      </w:r>
      <w:r w:rsidR="0071768D" w:rsidRPr="00931C07">
        <w:rPr>
          <w:b/>
          <w:bCs/>
          <w:sz w:val="24"/>
        </w:rPr>
        <w:t>we Wrocławiu</w:t>
      </w:r>
    </w:p>
    <w:p w14:paraId="3F846804" w14:textId="77777777" w:rsidR="00395ED4" w:rsidRPr="00395ED4" w:rsidRDefault="00395ED4" w:rsidP="00B91D43">
      <w:pPr>
        <w:ind w:right="-142"/>
        <w:rPr>
          <w:b/>
          <w:sz w:val="24"/>
        </w:rPr>
      </w:pPr>
    </w:p>
    <w:p w14:paraId="2F80B6AD" w14:textId="6A6E94DB" w:rsidR="001F20AC" w:rsidRPr="00B91D43" w:rsidRDefault="0002537A" w:rsidP="00B91D43">
      <w:pPr>
        <w:ind w:right="-332" w:firstLine="284"/>
        <w:jc w:val="both"/>
        <w:rPr>
          <w:sz w:val="24"/>
          <w:szCs w:val="24"/>
        </w:rPr>
      </w:pPr>
      <w:r>
        <w:rPr>
          <w:sz w:val="24"/>
        </w:rPr>
        <w:t xml:space="preserve">Rada Naukowa INTiBS PAN, </w:t>
      </w:r>
      <w:r w:rsidR="00E37430">
        <w:rPr>
          <w:sz w:val="24"/>
        </w:rPr>
        <w:t xml:space="preserve">podczas głosowania </w:t>
      </w:r>
      <w:r w:rsidR="000A5A19">
        <w:rPr>
          <w:sz w:val="24"/>
        </w:rPr>
        <w:t xml:space="preserve">internetowego </w:t>
      </w:r>
      <w:r w:rsidR="000C2FAE">
        <w:rPr>
          <w:sz w:val="24"/>
        </w:rPr>
        <w:t>zakończonego</w:t>
      </w:r>
      <w:r w:rsidR="0071768D">
        <w:rPr>
          <w:sz w:val="24"/>
        </w:rPr>
        <w:t xml:space="preserve"> </w:t>
      </w:r>
      <w:r w:rsidR="00E37430">
        <w:rPr>
          <w:sz w:val="24"/>
        </w:rPr>
        <w:t>w dniu</w:t>
      </w:r>
      <w:r w:rsidR="00E37430">
        <w:rPr>
          <w:b/>
          <w:bCs/>
          <w:sz w:val="24"/>
        </w:rPr>
        <w:t xml:space="preserve"> </w:t>
      </w:r>
      <w:r w:rsidR="00B91D43">
        <w:rPr>
          <w:b/>
          <w:bCs/>
          <w:sz w:val="24"/>
        </w:rPr>
        <w:br/>
      </w:r>
      <w:r w:rsidR="000C2FAE">
        <w:rPr>
          <w:b/>
          <w:bCs/>
          <w:sz w:val="24"/>
        </w:rPr>
        <w:t>24</w:t>
      </w:r>
      <w:r w:rsidR="00BE3393">
        <w:rPr>
          <w:b/>
          <w:bCs/>
          <w:sz w:val="24"/>
        </w:rPr>
        <w:t xml:space="preserve"> </w:t>
      </w:r>
      <w:r w:rsidR="000A5A19">
        <w:rPr>
          <w:b/>
          <w:bCs/>
          <w:sz w:val="24"/>
        </w:rPr>
        <w:t>listopada</w:t>
      </w:r>
      <w:r w:rsidR="00D519DF">
        <w:rPr>
          <w:b/>
          <w:bCs/>
          <w:sz w:val="24"/>
        </w:rPr>
        <w:t xml:space="preserve"> </w:t>
      </w:r>
      <w:r w:rsidR="005A7D79">
        <w:rPr>
          <w:b/>
          <w:bCs/>
          <w:sz w:val="24"/>
        </w:rPr>
        <w:t>202</w:t>
      </w:r>
      <w:r w:rsidR="005F7110">
        <w:rPr>
          <w:b/>
          <w:bCs/>
          <w:sz w:val="24"/>
        </w:rPr>
        <w:t>2</w:t>
      </w:r>
      <w:r w:rsidR="00E37430">
        <w:rPr>
          <w:b/>
          <w:sz w:val="24"/>
        </w:rPr>
        <w:t xml:space="preserve"> r., </w:t>
      </w:r>
      <w:r w:rsidR="00B0377F">
        <w:rPr>
          <w:sz w:val="24"/>
          <w:szCs w:val="24"/>
        </w:rPr>
        <w:t>po zapoznaniu się z wnioskiem</w:t>
      </w:r>
      <w:r w:rsidR="008B51DF">
        <w:rPr>
          <w:sz w:val="24"/>
          <w:szCs w:val="24"/>
        </w:rPr>
        <w:t xml:space="preserve">, </w:t>
      </w:r>
      <w:r>
        <w:rPr>
          <w:b/>
          <w:sz w:val="24"/>
        </w:rPr>
        <w:t xml:space="preserve">postanowiła </w:t>
      </w:r>
      <w:r>
        <w:rPr>
          <w:sz w:val="24"/>
        </w:rPr>
        <w:t>w głosowaniu tajnym</w:t>
      </w:r>
      <w:r w:rsidR="006847A3">
        <w:rPr>
          <w:sz w:val="24"/>
        </w:rPr>
        <w:t>,</w:t>
      </w:r>
      <w:r>
        <w:rPr>
          <w:sz w:val="24"/>
        </w:rPr>
        <w:t xml:space="preserve"> </w:t>
      </w:r>
      <w:r w:rsidR="006847A3">
        <w:rPr>
          <w:sz w:val="24"/>
        </w:rPr>
        <w:t>przy udziale</w:t>
      </w:r>
      <w:r>
        <w:rPr>
          <w:sz w:val="24"/>
        </w:rPr>
        <w:t xml:space="preserve"> </w:t>
      </w:r>
      <w:r w:rsidR="00B91D43">
        <w:rPr>
          <w:sz w:val="24"/>
          <w:u w:val="single"/>
        </w:rPr>
        <w:t>36</w:t>
      </w:r>
      <w:r w:rsidR="006847A3">
        <w:rPr>
          <w:sz w:val="24"/>
        </w:rPr>
        <w:t xml:space="preserve"> osób</w:t>
      </w:r>
      <w:r>
        <w:rPr>
          <w:sz w:val="24"/>
        </w:rPr>
        <w:t xml:space="preserve">, z ogólnej liczby </w:t>
      </w:r>
      <w:r w:rsidR="00E37430">
        <w:rPr>
          <w:sz w:val="24"/>
          <w:u w:val="single"/>
        </w:rPr>
        <w:t>46</w:t>
      </w:r>
      <w:r w:rsidR="006847A3">
        <w:rPr>
          <w:sz w:val="24"/>
        </w:rPr>
        <w:t xml:space="preserve"> osób </w:t>
      </w:r>
      <w:r>
        <w:rPr>
          <w:sz w:val="24"/>
        </w:rPr>
        <w:t>uprawnionych do głosowania</w:t>
      </w:r>
      <w:r w:rsidR="0071768D">
        <w:rPr>
          <w:sz w:val="24"/>
        </w:rPr>
        <w:t xml:space="preserve"> wprowadzić regulamin</w:t>
      </w:r>
      <w:r w:rsidR="00A245A8">
        <w:rPr>
          <w:sz w:val="24"/>
        </w:rPr>
        <w:t xml:space="preserve">u </w:t>
      </w:r>
      <w:r w:rsidR="00212B29">
        <w:rPr>
          <w:sz w:val="24"/>
        </w:rPr>
        <w:t>następując</w:t>
      </w:r>
      <w:r w:rsidR="00421CBD">
        <w:rPr>
          <w:sz w:val="24"/>
        </w:rPr>
        <w:t>ą</w:t>
      </w:r>
      <w:r w:rsidR="00212B29">
        <w:rPr>
          <w:sz w:val="24"/>
        </w:rPr>
        <w:t xml:space="preserve"> zmian</w:t>
      </w:r>
      <w:r w:rsidR="00421CBD">
        <w:rPr>
          <w:sz w:val="24"/>
        </w:rPr>
        <w:t>ę</w:t>
      </w:r>
      <w:r w:rsidR="00212B29">
        <w:rPr>
          <w:sz w:val="24"/>
        </w:rPr>
        <w:t>:</w:t>
      </w:r>
    </w:p>
    <w:p w14:paraId="3BF06769" w14:textId="66A4234D" w:rsidR="00212B29" w:rsidRPr="001F20AC" w:rsidRDefault="00212B29" w:rsidP="00A245A8">
      <w:pPr>
        <w:tabs>
          <w:tab w:val="left" w:pos="1985"/>
        </w:tabs>
        <w:ind w:right="-142"/>
        <w:jc w:val="both"/>
        <w:rPr>
          <w:sz w:val="24"/>
        </w:rPr>
      </w:pPr>
    </w:p>
    <w:p w14:paraId="2C0E110F" w14:textId="68EE8300" w:rsidR="00AB3AFB" w:rsidRDefault="003117C2" w:rsidP="004E3C3A">
      <w:pPr>
        <w:pStyle w:val="Akapitzlist"/>
        <w:numPr>
          <w:ilvl w:val="0"/>
          <w:numId w:val="7"/>
        </w:numPr>
        <w:tabs>
          <w:tab w:val="left" w:pos="1985"/>
        </w:tabs>
        <w:ind w:right="-142"/>
        <w:jc w:val="both"/>
        <w:rPr>
          <w:sz w:val="24"/>
        </w:rPr>
      </w:pPr>
      <w:r>
        <w:rPr>
          <w:sz w:val="24"/>
        </w:rPr>
        <w:t>W §</w:t>
      </w:r>
      <w:r w:rsidR="00F13453">
        <w:rPr>
          <w:sz w:val="24"/>
        </w:rPr>
        <w:t>5</w:t>
      </w:r>
      <w:r>
        <w:rPr>
          <w:sz w:val="24"/>
        </w:rPr>
        <w:t xml:space="preserve"> ust. </w:t>
      </w:r>
      <w:r w:rsidR="00024DFC">
        <w:rPr>
          <w:sz w:val="24"/>
        </w:rPr>
        <w:t>2a</w:t>
      </w:r>
      <w:r w:rsidR="00AB3AFB">
        <w:rPr>
          <w:sz w:val="24"/>
        </w:rPr>
        <w:t>, §6 ust. 3b i ust</w:t>
      </w:r>
      <w:r w:rsidR="004E3C3A">
        <w:rPr>
          <w:sz w:val="24"/>
        </w:rPr>
        <w:t>. 3c</w:t>
      </w:r>
      <w:r w:rsidR="00024DFC">
        <w:rPr>
          <w:sz w:val="24"/>
        </w:rPr>
        <w:t xml:space="preserve"> usunąć słow</w:t>
      </w:r>
      <w:r w:rsidR="004E3C3A">
        <w:rPr>
          <w:sz w:val="24"/>
        </w:rPr>
        <w:t>a</w:t>
      </w:r>
      <w:r w:rsidR="00024DFC">
        <w:rPr>
          <w:sz w:val="24"/>
        </w:rPr>
        <w:t xml:space="preserve"> „publicznej”.</w:t>
      </w:r>
    </w:p>
    <w:p w14:paraId="21248453" w14:textId="4A27D3B1" w:rsidR="00CC7F7B" w:rsidRDefault="00CC7F7B" w:rsidP="004E3C3A">
      <w:pPr>
        <w:pStyle w:val="Akapitzlist"/>
        <w:numPr>
          <w:ilvl w:val="0"/>
          <w:numId w:val="7"/>
        </w:numPr>
        <w:tabs>
          <w:tab w:val="left" w:pos="1985"/>
        </w:tabs>
        <w:ind w:right="-142"/>
        <w:jc w:val="both"/>
        <w:rPr>
          <w:sz w:val="24"/>
        </w:rPr>
      </w:pPr>
      <w:r>
        <w:rPr>
          <w:sz w:val="24"/>
        </w:rPr>
        <w:t xml:space="preserve">W §5 ust. </w:t>
      </w:r>
      <w:r w:rsidR="005D2813">
        <w:rPr>
          <w:sz w:val="24"/>
        </w:rPr>
        <w:t>4a usunąć słowo „publiczna”.</w:t>
      </w:r>
    </w:p>
    <w:p w14:paraId="74F0F8E7" w14:textId="32398F10" w:rsidR="004204D7" w:rsidRPr="004E3C3A" w:rsidRDefault="004204D7" w:rsidP="004E3C3A">
      <w:pPr>
        <w:pStyle w:val="Akapitzlist"/>
        <w:numPr>
          <w:ilvl w:val="0"/>
          <w:numId w:val="7"/>
        </w:numPr>
        <w:tabs>
          <w:tab w:val="left" w:pos="1985"/>
        </w:tabs>
        <w:ind w:right="-142"/>
        <w:jc w:val="both"/>
        <w:rPr>
          <w:sz w:val="24"/>
        </w:rPr>
      </w:pPr>
      <w:r>
        <w:rPr>
          <w:sz w:val="24"/>
        </w:rPr>
        <w:t>W §8</w:t>
      </w:r>
      <w:r w:rsidR="00C96C23">
        <w:rPr>
          <w:sz w:val="24"/>
        </w:rPr>
        <w:t xml:space="preserve"> ust. 5 i ust. 7 usunąć słowa „publicznej”.</w:t>
      </w:r>
    </w:p>
    <w:p w14:paraId="16797982" w14:textId="5107F6CA" w:rsidR="00207F51" w:rsidRDefault="00D113B0" w:rsidP="00623E70">
      <w:pPr>
        <w:pStyle w:val="Akapitzlist"/>
        <w:numPr>
          <w:ilvl w:val="0"/>
          <w:numId w:val="7"/>
        </w:numPr>
        <w:tabs>
          <w:tab w:val="left" w:pos="1985"/>
        </w:tabs>
        <w:ind w:right="-142"/>
        <w:jc w:val="both"/>
        <w:rPr>
          <w:sz w:val="24"/>
        </w:rPr>
      </w:pPr>
      <w:r>
        <w:rPr>
          <w:sz w:val="24"/>
        </w:rPr>
        <w:t xml:space="preserve">Tytuł </w:t>
      </w:r>
      <w:r w:rsidR="00DE0F86">
        <w:rPr>
          <w:sz w:val="24"/>
        </w:rPr>
        <w:t>§9 brzmiący „Publiczna obrona rozprawy” zastąpić tytułem „Obrona rozprawy”</w:t>
      </w:r>
      <w:r w:rsidR="00623E70">
        <w:rPr>
          <w:sz w:val="24"/>
        </w:rPr>
        <w:t>.</w:t>
      </w:r>
    </w:p>
    <w:p w14:paraId="7DB5B505" w14:textId="4C19189D" w:rsidR="00623E70" w:rsidRDefault="00337F34" w:rsidP="00623E70">
      <w:pPr>
        <w:pStyle w:val="Akapitzlist"/>
        <w:numPr>
          <w:ilvl w:val="0"/>
          <w:numId w:val="7"/>
        </w:numPr>
        <w:tabs>
          <w:tab w:val="left" w:pos="1985"/>
        </w:tabs>
        <w:ind w:right="-142"/>
        <w:jc w:val="both"/>
        <w:rPr>
          <w:sz w:val="24"/>
        </w:rPr>
      </w:pPr>
      <w:r>
        <w:rPr>
          <w:sz w:val="24"/>
        </w:rPr>
        <w:t>W treści §9:</w:t>
      </w:r>
    </w:p>
    <w:p w14:paraId="79D21054" w14:textId="7A8ECB07" w:rsidR="00337F34" w:rsidRDefault="00FB4423" w:rsidP="00337F34">
      <w:pPr>
        <w:pStyle w:val="Akapitzlist"/>
        <w:numPr>
          <w:ilvl w:val="1"/>
          <w:numId w:val="7"/>
        </w:numPr>
        <w:tabs>
          <w:tab w:val="left" w:pos="1985"/>
        </w:tabs>
        <w:ind w:right="-142"/>
        <w:jc w:val="both"/>
        <w:rPr>
          <w:sz w:val="24"/>
        </w:rPr>
      </w:pPr>
      <w:r w:rsidRPr="00960C4D">
        <w:rPr>
          <w:sz w:val="24"/>
        </w:rPr>
        <w:t>w ust. 1 słowa „publicznej obrony” zastąpić słowami „obrony” oraz dodać</w:t>
      </w:r>
      <w:r w:rsidR="00402622" w:rsidRPr="00960C4D">
        <w:rPr>
          <w:sz w:val="24"/>
        </w:rPr>
        <w:t xml:space="preserve"> na końcu zdanie: „</w:t>
      </w:r>
      <w:r w:rsidR="00960C4D" w:rsidRPr="00960C4D">
        <w:rPr>
          <w:sz w:val="24"/>
        </w:rPr>
        <w:t>Obrona rozprawy doktorskiej jest publiczna z wyjątkiem rozprawy, której przedmiot jest objęty tajemnicą prawnie chronioną.</w:t>
      </w:r>
      <w:r w:rsidR="00BE3C91">
        <w:rPr>
          <w:sz w:val="24"/>
        </w:rPr>
        <w:t>”;</w:t>
      </w:r>
    </w:p>
    <w:p w14:paraId="06BDEA9A" w14:textId="1D270BB3" w:rsidR="007658C3" w:rsidRDefault="007658C3" w:rsidP="00BE3C91">
      <w:pPr>
        <w:pStyle w:val="Akapitzlist"/>
        <w:numPr>
          <w:ilvl w:val="1"/>
          <w:numId w:val="7"/>
        </w:numPr>
        <w:rPr>
          <w:sz w:val="24"/>
        </w:rPr>
      </w:pPr>
      <w:r w:rsidRPr="00BE3C91">
        <w:rPr>
          <w:sz w:val="24"/>
        </w:rPr>
        <w:t>po ust. 1 dodać ust. 1a w brzmieniu: „</w:t>
      </w:r>
      <w:r w:rsidR="00BE3C91" w:rsidRPr="00BE3C91">
        <w:rPr>
          <w:sz w:val="24"/>
        </w:rPr>
        <w:t xml:space="preserve">Obrona rozprawy doktorskiej, której przedmiot jest objęty tajemnicą prawnie chronioną, odbywa się zgodnie z zapisami §11a. </w:t>
      </w:r>
      <w:r w:rsidRPr="00BE3C91">
        <w:rPr>
          <w:sz w:val="24"/>
        </w:rPr>
        <w:t>”</w:t>
      </w:r>
      <w:r w:rsidR="00BE3C91">
        <w:rPr>
          <w:sz w:val="24"/>
        </w:rPr>
        <w:t>;</w:t>
      </w:r>
    </w:p>
    <w:p w14:paraId="7DF89755" w14:textId="53664B10" w:rsidR="00BE3C91" w:rsidRDefault="00BE3C91" w:rsidP="00BE3C91">
      <w:pPr>
        <w:pStyle w:val="Akapitzlist"/>
        <w:numPr>
          <w:ilvl w:val="1"/>
          <w:numId w:val="7"/>
        </w:numPr>
        <w:rPr>
          <w:sz w:val="24"/>
        </w:rPr>
      </w:pPr>
      <w:r>
        <w:rPr>
          <w:sz w:val="24"/>
        </w:rPr>
        <w:t>w ust.</w:t>
      </w:r>
      <w:r w:rsidR="00880003">
        <w:rPr>
          <w:sz w:val="24"/>
        </w:rPr>
        <w:t xml:space="preserve"> 3 zdanie: „</w:t>
      </w:r>
      <w:r w:rsidR="009B4A69" w:rsidRPr="009B4A69">
        <w:rPr>
          <w:sz w:val="24"/>
        </w:rPr>
        <w:t>W przypadku rozprawy doktorskiej, której przedmiot jest objęty tajemnicą prawnie chronioną, udostępnia się tylko recenzje z wyłączeniem treści objętych tą tajemnicą.</w:t>
      </w:r>
      <w:r w:rsidR="00880003">
        <w:rPr>
          <w:sz w:val="24"/>
        </w:rPr>
        <w:t>”</w:t>
      </w:r>
      <w:r w:rsidR="009B4A69">
        <w:rPr>
          <w:sz w:val="24"/>
        </w:rPr>
        <w:t xml:space="preserve"> zastąpić zdaniem: „</w:t>
      </w:r>
      <w:r w:rsidR="00BE089B" w:rsidRPr="00BE089B">
        <w:rPr>
          <w:sz w:val="24"/>
        </w:rPr>
        <w:t>W przypadku rozprawy doktorskiej, której przedmiot zawiera informacje poufne, dokumentów, o których mowa w § 8.4, nie zamieszcza się w Zintegrowanym Systemie Informacji o Szkolnictwie Wyższym i Nauce POL-on o którym mowa w art. 324 ust. 1 Ustawy.</w:t>
      </w:r>
      <w:r w:rsidR="009B4A69">
        <w:rPr>
          <w:sz w:val="24"/>
        </w:rPr>
        <w:t>”</w:t>
      </w:r>
      <w:r w:rsidR="00BE089B">
        <w:rPr>
          <w:sz w:val="24"/>
        </w:rPr>
        <w:t>;</w:t>
      </w:r>
    </w:p>
    <w:p w14:paraId="165A7A29" w14:textId="6090942B" w:rsidR="00BE089B" w:rsidRDefault="00BE089B" w:rsidP="00BE3C91">
      <w:pPr>
        <w:pStyle w:val="Akapitzlist"/>
        <w:numPr>
          <w:ilvl w:val="1"/>
          <w:numId w:val="7"/>
        </w:numPr>
        <w:rPr>
          <w:sz w:val="24"/>
        </w:rPr>
      </w:pPr>
      <w:r>
        <w:rPr>
          <w:sz w:val="24"/>
        </w:rPr>
        <w:t>w ust. 4 słowa „Publiczna obrona” oraz „publicznej obrony” zastąpić odpowiednio słowami: „Obrona” oraz „obrony”</w:t>
      </w:r>
      <w:r w:rsidR="00B07F65">
        <w:rPr>
          <w:sz w:val="24"/>
        </w:rPr>
        <w:t>;</w:t>
      </w:r>
    </w:p>
    <w:p w14:paraId="25912065" w14:textId="4D1722AB" w:rsidR="00B07F65" w:rsidRDefault="00B07F65" w:rsidP="00BE3C91">
      <w:pPr>
        <w:pStyle w:val="Akapitzlist"/>
        <w:numPr>
          <w:ilvl w:val="1"/>
          <w:numId w:val="7"/>
        </w:numPr>
        <w:rPr>
          <w:sz w:val="24"/>
        </w:rPr>
      </w:pPr>
      <w:r>
        <w:rPr>
          <w:sz w:val="24"/>
        </w:rPr>
        <w:t xml:space="preserve">w ust. 7 </w:t>
      </w:r>
      <w:r w:rsidR="00024DFC">
        <w:rPr>
          <w:sz w:val="24"/>
        </w:rPr>
        <w:t>i ust. 9 usunąć słowo</w:t>
      </w:r>
      <w:r w:rsidR="00F63661">
        <w:rPr>
          <w:sz w:val="24"/>
        </w:rPr>
        <w:t xml:space="preserve"> „publicznej”.</w:t>
      </w:r>
    </w:p>
    <w:p w14:paraId="0B99D098" w14:textId="2B422373" w:rsidR="009F4D86" w:rsidRDefault="009F4D86" w:rsidP="009F4D86">
      <w:pPr>
        <w:pStyle w:val="Akapitzlist"/>
        <w:numPr>
          <w:ilvl w:val="0"/>
          <w:numId w:val="7"/>
        </w:numPr>
        <w:rPr>
          <w:sz w:val="24"/>
        </w:rPr>
      </w:pPr>
      <w:r>
        <w:rPr>
          <w:sz w:val="24"/>
        </w:rPr>
        <w:t>W §10 ust, 1 usunąć słowo „publicznej”.</w:t>
      </w:r>
    </w:p>
    <w:p w14:paraId="412E3472" w14:textId="21E27768" w:rsidR="00A7422A" w:rsidRPr="00BE3C91" w:rsidRDefault="00A7422A" w:rsidP="00A7422A">
      <w:pPr>
        <w:pStyle w:val="Akapitzlist"/>
        <w:numPr>
          <w:ilvl w:val="0"/>
          <w:numId w:val="7"/>
        </w:numPr>
        <w:rPr>
          <w:sz w:val="24"/>
        </w:rPr>
      </w:pPr>
      <w:r>
        <w:rPr>
          <w:sz w:val="24"/>
        </w:rPr>
        <w:t>Po §11 dodać §11a w brzmieniu:</w:t>
      </w:r>
    </w:p>
    <w:p w14:paraId="63101F3F" w14:textId="7C8B9178" w:rsidR="00F00BEF" w:rsidRDefault="00F00BEF" w:rsidP="00207F51">
      <w:pPr>
        <w:tabs>
          <w:tab w:val="left" w:pos="1985"/>
        </w:tabs>
        <w:ind w:right="-142"/>
        <w:jc w:val="both"/>
        <w:rPr>
          <w:sz w:val="24"/>
        </w:rPr>
      </w:pPr>
    </w:p>
    <w:p w14:paraId="504118BE" w14:textId="75FD0AB0" w:rsidR="000616B8" w:rsidRPr="009B1FAB" w:rsidRDefault="000616B8" w:rsidP="000616B8">
      <w:pPr>
        <w:pStyle w:val="Akapitzlist"/>
        <w:tabs>
          <w:tab w:val="left" w:pos="1985"/>
        </w:tabs>
        <w:ind w:left="360" w:right="-142"/>
        <w:jc w:val="center"/>
        <w:rPr>
          <w:i/>
          <w:iCs/>
          <w:sz w:val="24"/>
        </w:rPr>
      </w:pPr>
      <w:r w:rsidRPr="009B1FAB">
        <w:rPr>
          <w:i/>
          <w:iCs/>
          <w:sz w:val="24"/>
        </w:rPr>
        <w:t>Rozprawa doktorska, której przedmiot jest objęty tajemnicą prawnie chronioną</w:t>
      </w:r>
    </w:p>
    <w:p w14:paraId="078FEB5E" w14:textId="77777777" w:rsidR="000616B8" w:rsidRPr="009B1FAB" w:rsidRDefault="000616B8" w:rsidP="000616B8">
      <w:pPr>
        <w:pStyle w:val="Akapitzlist"/>
        <w:tabs>
          <w:tab w:val="left" w:pos="1985"/>
        </w:tabs>
        <w:ind w:left="360" w:right="-142"/>
        <w:jc w:val="both"/>
        <w:rPr>
          <w:i/>
          <w:iCs/>
          <w:sz w:val="24"/>
        </w:rPr>
      </w:pPr>
    </w:p>
    <w:p w14:paraId="6C5F15F3" w14:textId="37451824" w:rsidR="000616B8" w:rsidRPr="009B1FAB" w:rsidRDefault="000616B8" w:rsidP="000616B8">
      <w:pPr>
        <w:pStyle w:val="Akapitzlist"/>
        <w:tabs>
          <w:tab w:val="left" w:pos="1985"/>
        </w:tabs>
        <w:ind w:left="360" w:right="-142"/>
        <w:jc w:val="center"/>
        <w:rPr>
          <w:i/>
          <w:iCs/>
          <w:sz w:val="24"/>
        </w:rPr>
      </w:pPr>
      <w:r w:rsidRPr="009B1FAB">
        <w:rPr>
          <w:i/>
          <w:iCs/>
          <w:sz w:val="24"/>
        </w:rPr>
        <w:t>§11a</w:t>
      </w:r>
    </w:p>
    <w:p w14:paraId="70BBF03F" w14:textId="77777777" w:rsidR="000616B8" w:rsidRPr="009B1FAB" w:rsidRDefault="000616B8" w:rsidP="000616B8">
      <w:pPr>
        <w:pStyle w:val="Akapitzlist"/>
        <w:tabs>
          <w:tab w:val="left" w:pos="1985"/>
        </w:tabs>
        <w:ind w:left="360" w:right="-142"/>
        <w:jc w:val="center"/>
        <w:rPr>
          <w:i/>
          <w:iCs/>
          <w:sz w:val="24"/>
        </w:rPr>
      </w:pPr>
    </w:p>
    <w:p w14:paraId="16DA0A49" w14:textId="40A728D9" w:rsidR="000616B8" w:rsidRPr="009B1FAB" w:rsidRDefault="000616B8" w:rsidP="000616B8">
      <w:pPr>
        <w:pStyle w:val="Akapitzlist"/>
        <w:tabs>
          <w:tab w:val="left" w:pos="1985"/>
        </w:tabs>
        <w:ind w:left="360" w:right="-142"/>
        <w:jc w:val="both"/>
        <w:rPr>
          <w:i/>
          <w:iCs/>
          <w:sz w:val="24"/>
        </w:rPr>
      </w:pPr>
      <w:r w:rsidRPr="009B1FAB">
        <w:rPr>
          <w:i/>
          <w:iCs/>
          <w:sz w:val="24"/>
        </w:rPr>
        <w:t>1.</w:t>
      </w:r>
      <w:r w:rsidR="009B1FAB" w:rsidRPr="009B1FAB">
        <w:rPr>
          <w:i/>
          <w:iCs/>
          <w:sz w:val="24"/>
        </w:rPr>
        <w:t xml:space="preserve"> </w:t>
      </w:r>
      <w:r w:rsidRPr="009B1FAB">
        <w:rPr>
          <w:i/>
          <w:iCs/>
          <w:sz w:val="24"/>
        </w:rPr>
        <w:t>W przypadku rozprawy doktorskiej, której przedmiot jest objęty tajemnicą prawnie chronioną, (zgodnie z Art. 188 ust. 2 Ustawy) postępowanie w sprawie nadania stopnia doktora jest prowadzone dodatkowo w trybie zwanym specjalnym, który jest inicjowany poprzez:</w:t>
      </w:r>
    </w:p>
    <w:p w14:paraId="45C94180" w14:textId="3765484D" w:rsidR="000616B8" w:rsidRPr="009B1FAB" w:rsidRDefault="000616B8" w:rsidP="009B1FAB">
      <w:pPr>
        <w:pStyle w:val="Akapitzlist"/>
        <w:tabs>
          <w:tab w:val="left" w:pos="1985"/>
        </w:tabs>
        <w:ind w:left="708" w:right="-142"/>
        <w:jc w:val="both"/>
        <w:rPr>
          <w:i/>
          <w:iCs/>
          <w:sz w:val="24"/>
        </w:rPr>
      </w:pPr>
      <w:r w:rsidRPr="009B1FAB">
        <w:rPr>
          <w:i/>
          <w:iCs/>
          <w:sz w:val="24"/>
        </w:rPr>
        <w:t>a.</w:t>
      </w:r>
      <w:r w:rsidR="009B1FAB" w:rsidRPr="009B1FAB">
        <w:rPr>
          <w:i/>
          <w:iCs/>
          <w:sz w:val="24"/>
        </w:rPr>
        <w:t xml:space="preserve"> </w:t>
      </w:r>
      <w:r w:rsidRPr="009B1FAB">
        <w:rPr>
          <w:i/>
          <w:iCs/>
          <w:sz w:val="24"/>
        </w:rPr>
        <w:t>złożenie przez Kandydata oraz promotora, oprócz dokumentów wskazanych w §5 ust 2, podania do Rady Naukowej o przeprowadzenie postępowania w sprawie nadania stopnia doktora w trybie specjalnym wraz ze szczegółowym uzasadnieniem,</w:t>
      </w:r>
    </w:p>
    <w:p w14:paraId="54E2A111" w14:textId="0AA7676F" w:rsidR="000616B8" w:rsidRPr="009B1FAB" w:rsidRDefault="000616B8" w:rsidP="009B1FAB">
      <w:pPr>
        <w:pStyle w:val="Akapitzlist"/>
        <w:tabs>
          <w:tab w:val="left" w:pos="1985"/>
        </w:tabs>
        <w:ind w:left="708" w:right="-142"/>
        <w:jc w:val="both"/>
        <w:rPr>
          <w:i/>
          <w:iCs/>
          <w:sz w:val="24"/>
        </w:rPr>
      </w:pPr>
      <w:r w:rsidRPr="009B1FAB">
        <w:rPr>
          <w:i/>
          <w:iCs/>
          <w:sz w:val="24"/>
        </w:rPr>
        <w:t>b.</w:t>
      </w:r>
      <w:r w:rsidR="009B1FAB" w:rsidRPr="009B1FAB">
        <w:rPr>
          <w:i/>
          <w:iCs/>
          <w:sz w:val="24"/>
        </w:rPr>
        <w:t xml:space="preserve"> </w:t>
      </w:r>
      <w:r w:rsidRPr="009B1FAB">
        <w:rPr>
          <w:i/>
          <w:iCs/>
          <w:sz w:val="24"/>
        </w:rPr>
        <w:t>złożenie rozprawy doktorskiej w wersji papierowej oraz elektronicznej wskazanej w §5 ust. 2b w zamkniętej teczce oznaczonej słowami „Postępowanie w trybie specjalnym”.</w:t>
      </w:r>
    </w:p>
    <w:p w14:paraId="1549F3A7" w14:textId="1C28D2F1" w:rsidR="000616B8" w:rsidRPr="009B1FAB" w:rsidRDefault="000616B8" w:rsidP="000616B8">
      <w:pPr>
        <w:pStyle w:val="Akapitzlist"/>
        <w:tabs>
          <w:tab w:val="left" w:pos="1985"/>
        </w:tabs>
        <w:ind w:left="360" w:right="-142"/>
        <w:jc w:val="both"/>
        <w:rPr>
          <w:i/>
          <w:iCs/>
          <w:sz w:val="24"/>
        </w:rPr>
      </w:pPr>
      <w:r w:rsidRPr="009B1FAB">
        <w:rPr>
          <w:i/>
          <w:iCs/>
          <w:sz w:val="24"/>
        </w:rPr>
        <w:t>2.</w:t>
      </w:r>
      <w:r w:rsidR="009B1FAB" w:rsidRPr="009B1FAB">
        <w:rPr>
          <w:i/>
          <w:iCs/>
          <w:sz w:val="24"/>
        </w:rPr>
        <w:t xml:space="preserve"> </w:t>
      </w:r>
      <w:r w:rsidRPr="009B1FAB">
        <w:rPr>
          <w:i/>
          <w:iCs/>
          <w:sz w:val="24"/>
        </w:rPr>
        <w:t xml:space="preserve">Teczka wskazana w ust. 1b jest przechowywana w sposób zapewniający brak dostępu do niej przez osoby nieuprawnione. Osobami uprawnionymi do dostępu są Zastępcy Dyrektora ds. Naukowych, wyznaczony pracownik Sekretariatu Naukowego oraz członkowie komisji doktorskiej. Wszystkie osoby uprawnione są zobowiązane do zachowania poufności treści objętych tajemnicą prawnie chronioną. </w:t>
      </w:r>
    </w:p>
    <w:p w14:paraId="5115056A" w14:textId="2995D9D1" w:rsidR="000616B8" w:rsidRPr="009B1FAB" w:rsidRDefault="000616B8" w:rsidP="000616B8">
      <w:pPr>
        <w:pStyle w:val="Akapitzlist"/>
        <w:tabs>
          <w:tab w:val="left" w:pos="1985"/>
        </w:tabs>
        <w:ind w:left="360" w:right="-142"/>
        <w:jc w:val="both"/>
        <w:rPr>
          <w:i/>
          <w:iCs/>
          <w:sz w:val="24"/>
        </w:rPr>
      </w:pPr>
      <w:r w:rsidRPr="009B1FAB">
        <w:rPr>
          <w:i/>
          <w:iCs/>
          <w:sz w:val="24"/>
        </w:rPr>
        <w:lastRenderedPageBreak/>
        <w:t>3.</w:t>
      </w:r>
      <w:r w:rsidR="009B1FAB" w:rsidRPr="009B1FAB">
        <w:rPr>
          <w:i/>
          <w:iCs/>
          <w:sz w:val="24"/>
        </w:rPr>
        <w:t xml:space="preserve"> </w:t>
      </w:r>
      <w:r w:rsidRPr="009B1FAB">
        <w:rPr>
          <w:i/>
          <w:iCs/>
          <w:sz w:val="24"/>
        </w:rPr>
        <w:t xml:space="preserve">Rada Naukowa podejmuje uchwałę o wyrażeniu zgody na prowadzenie postępowania w sprawie nadania stopnia doktora w trybie specjalnym lub odmawia zgody. W przypadku odmowy Kandydat może ponownie wystąpić do Rady Naukowej z wnioskiem o wszczęcie postępowania bez trybu specjalnego albo w trybie specjalnym, w przypadku ujawnienia nowych okoliczności przemawiających za zastosowaniem przesłanki </w:t>
      </w:r>
      <w:proofErr w:type="spellStart"/>
      <w:r w:rsidRPr="009B1FAB">
        <w:rPr>
          <w:i/>
          <w:iCs/>
          <w:sz w:val="24"/>
        </w:rPr>
        <w:t>okreslonej</w:t>
      </w:r>
      <w:proofErr w:type="spellEnd"/>
      <w:r w:rsidRPr="009B1FAB">
        <w:rPr>
          <w:i/>
          <w:iCs/>
          <w:sz w:val="24"/>
        </w:rPr>
        <w:t xml:space="preserve"> w art. 188 ust. 2. Ustawy.</w:t>
      </w:r>
    </w:p>
    <w:p w14:paraId="2E7D92BE" w14:textId="36BC3927" w:rsidR="000616B8" w:rsidRPr="009B1FAB" w:rsidRDefault="000616B8" w:rsidP="000616B8">
      <w:pPr>
        <w:pStyle w:val="Akapitzlist"/>
        <w:tabs>
          <w:tab w:val="left" w:pos="1985"/>
        </w:tabs>
        <w:ind w:left="360" w:right="-142"/>
        <w:jc w:val="both"/>
        <w:rPr>
          <w:i/>
          <w:iCs/>
          <w:sz w:val="24"/>
        </w:rPr>
      </w:pPr>
      <w:r w:rsidRPr="009B1FAB">
        <w:rPr>
          <w:i/>
          <w:iCs/>
          <w:sz w:val="24"/>
        </w:rPr>
        <w:t>4.</w:t>
      </w:r>
      <w:r w:rsidR="009B1FAB" w:rsidRPr="009B1FAB">
        <w:rPr>
          <w:i/>
          <w:iCs/>
          <w:sz w:val="24"/>
        </w:rPr>
        <w:t xml:space="preserve"> </w:t>
      </w:r>
      <w:r w:rsidRPr="009B1FAB">
        <w:rPr>
          <w:i/>
          <w:iCs/>
          <w:sz w:val="24"/>
        </w:rPr>
        <w:t xml:space="preserve">W dodatkowym trybie specjalnym postępowanie w sprawie nadania stopnia doktora jest prowadzone na podstawie zapisów regulaminu  w odpowiednym trybie podstawowym (zwykły, eksternistycznym lub przejściowym) z następującymi zmianami: </w:t>
      </w:r>
    </w:p>
    <w:p w14:paraId="227357B2" w14:textId="2D5E1232" w:rsidR="000616B8" w:rsidRPr="009B1FAB" w:rsidRDefault="000616B8" w:rsidP="009B1FAB">
      <w:pPr>
        <w:pStyle w:val="Akapitzlist"/>
        <w:tabs>
          <w:tab w:val="left" w:pos="1985"/>
        </w:tabs>
        <w:ind w:left="708" w:right="-142"/>
        <w:jc w:val="both"/>
        <w:rPr>
          <w:i/>
          <w:iCs/>
          <w:sz w:val="24"/>
        </w:rPr>
      </w:pPr>
      <w:r w:rsidRPr="009B1FAB">
        <w:rPr>
          <w:i/>
          <w:iCs/>
          <w:sz w:val="24"/>
        </w:rPr>
        <w:t>a.</w:t>
      </w:r>
      <w:r w:rsidR="009B1FAB" w:rsidRPr="009B1FAB">
        <w:rPr>
          <w:i/>
          <w:iCs/>
          <w:sz w:val="24"/>
        </w:rPr>
        <w:t xml:space="preserve"> </w:t>
      </w:r>
      <w:r w:rsidRPr="009B1FAB">
        <w:rPr>
          <w:i/>
          <w:iCs/>
          <w:sz w:val="24"/>
        </w:rPr>
        <w:t xml:space="preserve">Rozprawa doktorska nie jest sprawdzana z wykorzystaniem Jednolitego Systemu </w:t>
      </w:r>
      <w:proofErr w:type="spellStart"/>
      <w:r w:rsidRPr="009B1FAB">
        <w:rPr>
          <w:i/>
          <w:iCs/>
          <w:sz w:val="24"/>
        </w:rPr>
        <w:t>Antyplagiatowego</w:t>
      </w:r>
      <w:proofErr w:type="spellEnd"/>
      <w:r w:rsidRPr="009B1FAB">
        <w:rPr>
          <w:i/>
          <w:iCs/>
          <w:sz w:val="24"/>
        </w:rPr>
        <w:t xml:space="preserve"> (§5 ust. 4);</w:t>
      </w:r>
    </w:p>
    <w:p w14:paraId="3DF804E2" w14:textId="729C4097" w:rsidR="000616B8" w:rsidRPr="009B1FAB" w:rsidRDefault="000616B8" w:rsidP="009B1FAB">
      <w:pPr>
        <w:pStyle w:val="Akapitzlist"/>
        <w:tabs>
          <w:tab w:val="left" w:pos="1985"/>
        </w:tabs>
        <w:ind w:left="708" w:right="-142"/>
        <w:jc w:val="both"/>
        <w:rPr>
          <w:i/>
          <w:iCs/>
          <w:sz w:val="24"/>
        </w:rPr>
      </w:pPr>
      <w:r w:rsidRPr="009B1FAB">
        <w:rPr>
          <w:i/>
          <w:iCs/>
          <w:sz w:val="24"/>
        </w:rPr>
        <w:t>b.</w:t>
      </w:r>
      <w:r w:rsidR="009B1FAB" w:rsidRPr="009B1FAB">
        <w:rPr>
          <w:i/>
          <w:iCs/>
          <w:sz w:val="24"/>
        </w:rPr>
        <w:t xml:space="preserve"> </w:t>
      </w:r>
      <w:r w:rsidRPr="009B1FAB">
        <w:rPr>
          <w:i/>
          <w:iCs/>
          <w:sz w:val="24"/>
        </w:rPr>
        <w:t>Liczba członków Rady Naukowej wchodzących w skład komisji doktorskiej (poza przewodniczącym) jest nie mniejsza niż 8 (§5 ust. 5a oraz §6 ust. 2a);</w:t>
      </w:r>
    </w:p>
    <w:p w14:paraId="6EE014EF" w14:textId="56E0A4B3" w:rsidR="000616B8" w:rsidRPr="009B1FAB" w:rsidRDefault="000616B8" w:rsidP="009B1FAB">
      <w:pPr>
        <w:pStyle w:val="Akapitzlist"/>
        <w:tabs>
          <w:tab w:val="left" w:pos="1985"/>
        </w:tabs>
        <w:ind w:left="708" w:right="-142"/>
        <w:jc w:val="both"/>
        <w:rPr>
          <w:i/>
          <w:iCs/>
          <w:sz w:val="24"/>
        </w:rPr>
      </w:pPr>
      <w:r w:rsidRPr="009B1FAB">
        <w:rPr>
          <w:i/>
          <w:iCs/>
          <w:sz w:val="24"/>
        </w:rPr>
        <w:t>c.</w:t>
      </w:r>
      <w:r w:rsidR="009B1FAB" w:rsidRPr="009B1FAB">
        <w:rPr>
          <w:i/>
          <w:iCs/>
          <w:sz w:val="24"/>
        </w:rPr>
        <w:t xml:space="preserve"> </w:t>
      </w:r>
      <w:r w:rsidRPr="009B1FAB">
        <w:rPr>
          <w:i/>
          <w:iCs/>
          <w:sz w:val="24"/>
        </w:rPr>
        <w:t>Członkowie komisji doktorskiej, w tym promotor lub promotorzy, promotor pomocniczy oraz recenzenci składają oświadczenia o zachowaniu poufności i stają się osobami uprawnionymi dopiero w momencie złożenia oświadczenia;</w:t>
      </w:r>
    </w:p>
    <w:p w14:paraId="259015ED" w14:textId="46CB1F5F" w:rsidR="000616B8" w:rsidRPr="009B1FAB" w:rsidRDefault="000616B8" w:rsidP="009B1FAB">
      <w:pPr>
        <w:pStyle w:val="Akapitzlist"/>
        <w:tabs>
          <w:tab w:val="left" w:pos="1985"/>
        </w:tabs>
        <w:ind w:left="708" w:right="-142"/>
        <w:jc w:val="both"/>
        <w:rPr>
          <w:i/>
          <w:iCs/>
          <w:sz w:val="24"/>
        </w:rPr>
      </w:pPr>
      <w:r w:rsidRPr="009B1FAB">
        <w:rPr>
          <w:i/>
          <w:iCs/>
          <w:sz w:val="24"/>
        </w:rPr>
        <w:t>d.</w:t>
      </w:r>
      <w:r w:rsidR="009B1FAB" w:rsidRPr="009B1FAB">
        <w:rPr>
          <w:i/>
          <w:iCs/>
          <w:sz w:val="24"/>
        </w:rPr>
        <w:t xml:space="preserve"> </w:t>
      </w:r>
      <w:r w:rsidRPr="009B1FAB">
        <w:rPr>
          <w:i/>
          <w:iCs/>
          <w:sz w:val="24"/>
        </w:rPr>
        <w:t>W obradach i głosowaniach komisji doktorskiej uczestniczy przewodniczący, co najmniej 2 recenzentów, promotor lub promotor pomocniczy oraz co najmniej 5 członków powołanych przez Radę (§6 ust. 4);</w:t>
      </w:r>
    </w:p>
    <w:p w14:paraId="23A5FDBD" w14:textId="287F18BF" w:rsidR="000616B8" w:rsidRPr="009B1FAB" w:rsidRDefault="000616B8" w:rsidP="009B1FAB">
      <w:pPr>
        <w:pStyle w:val="Akapitzlist"/>
        <w:tabs>
          <w:tab w:val="left" w:pos="1985"/>
        </w:tabs>
        <w:ind w:left="708" w:right="-142"/>
        <w:jc w:val="both"/>
        <w:rPr>
          <w:i/>
          <w:iCs/>
          <w:sz w:val="24"/>
        </w:rPr>
      </w:pPr>
      <w:r w:rsidRPr="009B1FAB">
        <w:rPr>
          <w:i/>
          <w:iCs/>
          <w:sz w:val="24"/>
        </w:rPr>
        <w:t>e.</w:t>
      </w:r>
      <w:r w:rsidR="009B1FAB" w:rsidRPr="009B1FAB">
        <w:rPr>
          <w:i/>
          <w:iCs/>
          <w:sz w:val="24"/>
        </w:rPr>
        <w:t xml:space="preserve"> </w:t>
      </w:r>
      <w:r w:rsidRPr="009B1FAB">
        <w:rPr>
          <w:i/>
          <w:iCs/>
          <w:sz w:val="24"/>
        </w:rPr>
        <w:t>Po złożeniu oświadczeń, rozprawa doktorska jest przekazywana członkom komisji doktorskiej w wersji elektronicznej poprzez udostępnienie linku pozwalającego jedynie na odczyt rozprawy w trybie online. Dostęp do dokumentu jest zabezpieczony indywidualnym hasłem, które jest dostarczane członkowi komisji innym kanałem niż link dostępowy. Recenzent może wnioskować o przekazanie rozprawy doktorskiej w formie wydruku. Sposób dostarczenia rozprawy jest uzgadniany z Sekretariatem Naukowym, aby zapewnić zachowanie poufności (§8 ust. 1);</w:t>
      </w:r>
    </w:p>
    <w:p w14:paraId="320410EE" w14:textId="289B9B62" w:rsidR="000616B8" w:rsidRPr="009B1FAB" w:rsidRDefault="000616B8" w:rsidP="009B1FAB">
      <w:pPr>
        <w:pStyle w:val="Akapitzlist"/>
        <w:tabs>
          <w:tab w:val="left" w:pos="1985"/>
        </w:tabs>
        <w:ind w:left="708" w:right="-142"/>
        <w:jc w:val="both"/>
        <w:rPr>
          <w:i/>
          <w:iCs/>
          <w:sz w:val="24"/>
        </w:rPr>
      </w:pPr>
      <w:r w:rsidRPr="009B1FAB">
        <w:rPr>
          <w:i/>
          <w:iCs/>
          <w:sz w:val="24"/>
        </w:rPr>
        <w:t>f.</w:t>
      </w:r>
      <w:r w:rsidR="009B1FAB" w:rsidRPr="009B1FAB">
        <w:rPr>
          <w:i/>
          <w:iCs/>
          <w:sz w:val="24"/>
        </w:rPr>
        <w:t xml:space="preserve"> </w:t>
      </w:r>
      <w:r w:rsidRPr="009B1FAB">
        <w:rPr>
          <w:i/>
          <w:iCs/>
          <w:sz w:val="24"/>
        </w:rPr>
        <w:t>Jeżeli w recenzji znajdują się fragmenty dotyczące treści objętych tajemnicą, recenzent przygotowuje dwie wersje recenzji (każda z nich przekazywana jest w wersji papierowej i elektronicznej): pełną treść recenzji – oznaczoną wyraźnie „Recenzja do użytku wewnętrznego” oraz treść z fragmentami dotyczącymi treści objętych tajemnicą zastąpionymi tekstem: „(fragment wyłączony w związku z odniesieniem do treści objętej tajemnicą prawnie chronioną)” – oznaczoną wyraźnie „Recenzja do upublicznienia” (§8 ust. 2). Przekazanie recenzji powinno nastąpić w sposób uzgodniony z pracownikiem Sekretariatu Naukowego uniemożliwiający dostęp do informacji osobom nieuprawnionym;</w:t>
      </w:r>
    </w:p>
    <w:p w14:paraId="610A490F" w14:textId="46F875F6" w:rsidR="000616B8" w:rsidRPr="009B1FAB" w:rsidRDefault="000616B8" w:rsidP="009B1FAB">
      <w:pPr>
        <w:pStyle w:val="Akapitzlist"/>
        <w:tabs>
          <w:tab w:val="left" w:pos="1985"/>
        </w:tabs>
        <w:ind w:left="708" w:right="-142"/>
        <w:jc w:val="both"/>
        <w:rPr>
          <w:i/>
          <w:iCs/>
          <w:sz w:val="24"/>
        </w:rPr>
      </w:pPr>
      <w:r w:rsidRPr="009B1FAB">
        <w:rPr>
          <w:i/>
          <w:iCs/>
          <w:sz w:val="24"/>
        </w:rPr>
        <w:t>g.</w:t>
      </w:r>
      <w:r w:rsidR="009B1FAB" w:rsidRPr="009B1FAB">
        <w:rPr>
          <w:i/>
          <w:iCs/>
          <w:sz w:val="24"/>
        </w:rPr>
        <w:t xml:space="preserve"> </w:t>
      </w:r>
      <w:r w:rsidRPr="009B1FAB">
        <w:rPr>
          <w:i/>
          <w:iCs/>
          <w:sz w:val="24"/>
        </w:rPr>
        <w:t>Na stronach BIP Instytutu, ani w systemie, o którym mowa w art. 342 ust. 1 Ustawy nie jest umieszczana rozprawa doktorska, a tylko recenzje z wyłączeniem treści objętych tajemnicą (§8 ust. 4, §9 ust. 3).</w:t>
      </w:r>
    </w:p>
    <w:p w14:paraId="62A1B30B" w14:textId="532F59F0" w:rsidR="000616B8" w:rsidRPr="009B1FAB" w:rsidRDefault="000616B8" w:rsidP="009B1FAB">
      <w:pPr>
        <w:pStyle w:val="Akapitzlist"/>
        <w:tabs>
          <w:tab w:val="left" w:pos="1985"/>
        </w:tabs>
        <w:ind w:left="708" w:right="-142"/>
        <w:jc w:val="both"/>
        <w:rPr>
          <w:i/>
          <w:iCs/>
          <w:sz w:val="24"/>
        </w:rPr>
      </w:pPr>
      <w:r w:rsidRPr="009B1FAB">
        <w:rPr>
          <w:i/>
          <w:iCs/>
          <w:sz w:val="24"/>
        </w:rPr>
        <w:t>h.</w:t>
      </w:r>
      <w:r w:rsidR="009B1FAB" w:rsidRPr="009B1FAB">
        <w:rPr>
          <w:i/>
          <w:iCs/>
          <w:sz w:val="24"/>
        </w:rPr>
        <w:t xml:space="preserve"> </w:t>
      </w:r>
      <w:r w:rsidRPr="009B1FAB">
        <w:rPr>
          <w:i/>
          <w:iCs/>
          <w:sz w:val="24"/>
        </w:rPr>
        <w:t>Obrona rozprawy doktorskiej nie jest publiczna, a uczestniczyć w niej może, oprócz Kandydata, jedynie komisja doktorska, oraz wyznaczony pracownik Sekretariatu Naukowego (§9 ust. 1);W ogłoszeniu o terminie obrony umieszczana jest informacja, iż obrona nie jest publiczna, gdyż przedmiot rozprawy doktorskiej jest objęty tajemnicą prawnie chronioną, zgodnie z Art. 188 ust. 2 Ustawy (§9 ust. 2);</w:t>
      </w:r>
    </w:p>
    <w:p w14:paraId="12C061B9" w14:textId="654D3C40" w:rsidR="003F6656" w:rsidRPr="009B1FAB" w:rsidRDefault="000616B8" w:rsidP="009B1FAB">
      <w:pPr>
        <w:pStyle w:val="Akapitzlist"/>
        <w:tabs>
          <w:tab w:val="left" w:pos="1985"/>
        </w:tabs>
        <w:ind w:left="708" w:right="-142"/>
        <w:jc w:val="both"/>
        <w:rPr>
          <w:i/>
          <w:iCs/>
          <w:sz w:val="24"/>
        </w:rPr>
      </w:pPr>
      <w:r w:rsidRPr="009B1FAB">
        <w:rPr>
          <w:i/>
          <w:iCs/>
          <w:sz w:val="24"/>
        </w:rPr>
        <w:t>i.</w:t>
      </w:r>
      <w:r w:rsidR="009B1FAB" w:rsidRPr="009B1FAB">
        <w:rPr>
          <w:i/>
          <w:iCs/>
          <w:sz w:val="24"/>
        </w:rPr>
        <w:t xml:space="preserve"> </w:t>
      </w:r>
      <w:r w:rsidRPr="009B1FAB">
        <w:rPr>
          <w:i/>
          <w:iCs/>
          <w:sz w:val="24"/>
        </w:rPr>
        <w:t>Nagranie obrony jest przechowywane wraz z dokumentacją sprawy w sposób uniemożliwiający dostęp osób nieuprawnionych (§9 ust. 6).</w:t>
      </w:r>
    </w:p>
    <w:p w14:paraId="758C7800" w14:textId="77777777" w:rsidR="0036631A" w:rsidRPr="00207F51" w:rsidRDefault="0036631A" w:rsidP="00207F51">
      <w:pPr>
        <w:tabs>
          <w:tab w:val="left" w:pos="1985"/>
        </w:tabs>
        <w:ind w:right="-142"/>
        <w:jc w:val="both"/>
        <w:rPr>
          <w:sz w:val="24"/>
        </w:rPr>
      </w:pPr>
    </w:p>
    <w:p w14:paraId="2896A20D" w14:textId="65089CEF" w:rsidR="001733E3" w:rsidRPr="00207F51" w:rsidRDefault="002353F4" w:rsidP="00BE3393">
      <w:pPr>
        <w:tabs>
          <w:tab w:val="left" w:pos="1985"/>
        </w:tabs>
        <w:ind w:right="-142"/>
        <w:jc w:val="both"/>
        <w:rPr>
          <w:sz w:val="24"/>
        </w:rPr>
      </w:pPr>
      <w:r w:rsidRPr="00207F51">
        <w:rPr>
          <w:sz w:val="24"/>
        </w:rPr>
        <w:t>oraz przyjąć tekst jednolity regulaminu ze zmianami będący załącznikiem do uchwały.</w:t>
      </w:r>
    </w:p>
    <w:p w14:paraId="35D39FE5" w14:textId="77777777" w:rsidR="001A23C1" w:rsidRDefault="001A23C1" w:rsidP="001A23C1">
      <w:pPr>
        <w:ind w:right="-142"/>
        <w:jc w:val="both"/>
        <w:rPr>
          <w:sz w:val="24"/>
        </w:rPr>
      </w:pPr>
    </w:p>
    <w:p w14:paraId="12A9DF7F" w14:textId="25E1AFA0" w:rsidR="001733E3" w:rsidRDefault="002353F4" w:rsidP="001A23C1">
      <w:pPr>
        <w:tabs>
          <w:tab w:val="left" w:pos="1985"/>
        </w:tabs>
        <w:ind w:right="-142"/>
        <w:jc w:val="both"/>
        <w:rPr>
          <w:sz w:val="24"/>
        </w:rPr>
      </w:pPr>
      <w:r>
        <w:rPr>
          <w:sz w:val="24"/>
        </w:rPr>
        <w:t xml:space="preserve">Załącznik: Tekst jednolity regulaminu </w:t>
      </w:r>
      <w:r w:rsidRPr="002353F4">
        <w:rPr>
          <w:sz w:val="24"/>
        </w:rPr>
        <w:t>przeprowadzania postępowania w sprawie nadania stopnia naukowego doktora w Instytucie Niskich Temperatur i Badań Strukturalnych im. Włodzimierza Trzebiatowskiego Polskiej Akademii Nauk we Wrocławiu</w:t>
      </w:r>
      <w:r w:rsidR="002348A3">
        <w:rPr>
          <w:sz w:val="24"/>
        </w:rPr>
        <w:t xml:space="preserve"> z </w:t>
      </w:r>
      <w:r w:rsidR="009540DA">
        <w:rPr>
          <w:sz w:val="24"/>
        </w:rPr>
        <w:t>24</w:t>
      </w:r>
      <w:r w:rsidR="00212B29">
        <w:rPr>
          <w:sz w:val="24"/>
        </w:rPr>
        <w:t xml:space="preserve"> </w:t>
      </w:r>
      <w:r w:rsidR="00FD42C0">
        <w:rPr>
          <w:sz w:val="24"/>
        </w:rPr>
        <w:t>listopada</w:t>
      </w:r>
      <w:r w:rsidR="00212B29">
        <w:rPr>
          <w:sz w:val="24"/>
        </w:rPr>
        <w:t xml:space="preserve"> </w:t>
      </w:r>
      <w:r w:rsidR="002348A3">
        <w:rPr>
          <w:sz w:val="24"/>
        </w:rPr>
        <w:t>2022 r</w:t>
      </w:r>
      <w:r>
        <w:rPr>
          <w:sz w:val="24"/>
        </w:rPr>
        <w:t>.</w:t>
      </w:r>
    </w:p>
    <w:p w14:paraId="3AF1A5A5" w14:textId="77777777" w:rsidR="001A23C1" w:rsidRDefault="001A23C1">
      <w:pPr>
        <w:tabs>
          <w:tab w:val="left" w:pos="1985"/>
        </w:tabs>
        <w:ind w:right="-142"/>
        <w:jc w:val="both"/>
        <w:rPr>
          <w:sz w:val="24"/>
        </w:rPr>
      </w:pPr>
    </w:p>
    <w:p w14:paraId="636C7E8F" w14:textId="77777777" w:rsidR="0002537A" w:rsidRDefault="0002537A">
      <w:pPr>
        <w:pStyle w:val="Nagwek2"/>
        <w:tabs>
          <w:tab w:val="left" w:pos="0"/>
        </w:tabs>
      </w:pPr>
      <w:r>
        <w:t xml:space="preserve">                                  </w:t>
      </w:r>
      <w:r>
        <w:tab/>
      </w:r>
      <w:r w:rsidR="00BB749A">
        <w:t xml:space="preserve">          </w:t>
      </w:r>
      <w:r w:rsidR="008C5B0E">
        <w:t>Przewodnicząc</w:t>
      </w:r>
      <w:r w:rsidR="00BB749A">
        <w:t>y</w:t>
      </w:r>
    </w:p>
    <w:p w14:paraId="54402910" w14:textId="77777777" w:rsidR="0002537A" w:rsidRDefault="0002537A" w:rsidP="002353F4">
      <w:pPr>
        <w:tabs>
          <w:tab w:val="left" w:pos="1985"/>
          <w:tab w:val="left" w:pos="6237"/>
        </w:tabs>
        <w:ind w:right="-142"/>
        <w:jc w:val="both"/>
        <w:rPr>
          <w:sz w:val="24"/>
        </w:rPr>
      </w:pPr>
      <w:r>
        <w:rPr>
          <w:sz w:val="24"/>
        </w:rPr>
        <w:tab/>
      </w:r>
      <w:r>
        <w:rPr>
          <w:sz w:val="24"/>
        </w:rPr>
        <w:tab/>
      </w:r>
      <w:r w:rsidR="008C5B0E">
        <w:rPr>
          <w:sz w:val="24"/>
        </w:rPr>
        <w:t xml:space="preserve">          </w:t>
      </w:r>
      <w:r>
        <w:rPr>
          <w:sz w:val="24"/>
        </w:rPr>
        <w:t>Rady Naukowej</w:t>
      </w:r>
      <w:r w:rsidR="008C5B0E">
        <w:rPr>
          <w:sz w:val="24"/>
        </w:rPr>
        <w:t xml:space="preserve"> </w:t>
      </w:r>
    </w:p>
    <w:sectPr w:rsidR="0002537A" w:rsidSect="00B91D43">
      <w:pgSz w:w="11906" w:h="16838"/>
      <w:pgMar w:top="709" w:right="1323"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HG Mincho Light J">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F75EB4"/>
    <w:multiLevelType w:val="hybridMultilevel"/>
    <w:tmpl w:val="C68215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9F2119"/>
    <w:multiLevelType w:val="multilevel"/>
    <w:tmpl w:val="C46CFB7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4B7A4470"/>
    <w:multiLevelType w:val="hybridMultilevel"/>
    <w:tmpl w:val="9168EFB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50AD41FE"/>
    <w:multiLevelType w:val="hybridMultilevel"/>
    <w:tmpl w:val="DE3083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C41500"/>
    <w:multiLevelType w:val="hybridMultilevel"/>
    <w:tmpl w:val="B9A6A7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73CB05E6"/>
    <w:multiLevelType w:val="hybridMultilevel"/>
    <w:tmpl w:val="FCBA049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7C812EAD"/>
    <w:multiLevelType w:val="hybridMultilevel"/>
    <w:tmpl w:val="BA222F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5"/>
  </w:num>
  <w:num w:numId="3">
    <w:abstractNumId w:val="7"/>
  </w:num>
  <w:num w:numId="4">
    <w:abstractNumId w:val="4"/>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30"/>
    <w:rsid w:val="00024DFC"/>
    <w:rsid w:val="0002537A"/>
    <w:rsid w:val="00033418"/>
    <w:rsid w:val="000616B8"/>
    <w:rsid w:val="000A5A19"/>
    <w:rsid w:val="000C2FAE"/>
    <w:rsid w:val="001733E3"/>
    <w:rsid w:val="001A20F5"/>
    <w:rsid w:val="001A23C1"/>
    <w:rsid w:val="001F20AC"/>
    <w:rsid w:val="00207F51"/>
    <w:rsid w:val="00212B29"/>
    <w:rsid w:val="002348A3"/>
    <w:rsid w:val="002353F4"/>
    <w:rsid w:val="00273F4C"/>
    <w:rsid w:val="00285E68"/>
    <w:rsid w:val="002D3A5D"/>
    <w:rsid w:val="003117C2"/>
    <w:rsid w:val="00337F34"/>
    <w:rsid w:val="0036631A"/>
    <w:rsid w:val="00384A0E"/>
    <w:rsid w:val="00395ED4"/>
    <w:rsid w:val="003E61DF"/>
    <w:rsid w:val="003F6656"/>
    <w:rsid w:val="003F6F6A"/>
    <w:rsid w:val="00402622"/>
    <w:rsid w:val="004204D7"/>
    <w:rsid w:val="00421CBD"/>
    <w:rsid w:val="004E3C3A"/>
    <w:rsid w:val="00520052"/>
    <w:rsid w:val="005512C6"/>
    <w:rsid w:val="00562EC3"/>
    <w:rsid w:val="00563B58"/>
    <w:rsid w:val="005932DC"/>
    <w:rsid w:val="005A5B5F"/>
    <w:rsid w:val="005A7D79"/>
    <w:rsid w:val="005D2813"/>
    <w:rsid w:val="005D7E9C"/>
    <w:rsid w:val="005F7110"/>
    <w:rsid w:val="00623E70"/>
    <w:rsid w:val="00641C60"/>
    <w:rsid w:val="00665494"/>
    <w:rsid w:val="006847A3"/>
    <w:rsid w:val="0070503A"/>
    <w:rsid w:val="0071768D"/>
    <w:rsid w:val="00734E21"/>
    <w:rsid w:val="007658C3"/>
    <w:rsid w:val="00787E3D"/>
    <w:rsid w:val="007A38C0"/>
    <w:rsid w:val="00810EF4"/>
    <w:rsid w:val="00836317"/>
    <w:rsid w:val="00865052"/>
    <w:rsid w:val="00880003"/>
    <w:rsid w:val="008A5851"/>
    <w:rsid w:val="008B51DF"/>
    <w:rsid w:val="008C2090"/>
    <w:rsid w:val="008C5B0E"/>
    <w:rsid w:val="00906CBA"/>
    <w:rsid w:val="009304D3"/>
    <w:rsid w:val="00931C07"/>
    <w:rsid w:val="009540DA"/>
    <w:rsid w:val="00960C4D"/>
    <w:rsid w:val="009B1FAB"/>
    <w:rsid w:val="009B4A69"/>
    <w:rsid w:val="009F4D86"/>
    <w:rsid w:val="00A245A8"/>
    <w:rsid w:val="00A274B5"/>
    <w:rsid w:val="00A7422A"/>
    <w:rsid w:val="00A943E5"/>
    <w:rsid w:val="00A9784D"/>
    <w:rsid w:val="00AA213A"/>
    <w:rsid w:val="00AB3AFB"/>
    <w:rsid w:val="00B0377F"/>
    <w:rsid w:val="00B07F65"/>
    <w:rsid w:val="00B8669A"/>
    <w:rsid w:val="00B91D43"/>
    <w:rsid w:val="00BB749A"/>
    <w:rsid w:val="00BE089B"/>
    <w:rsid w:val="00BE3393"/>
    <w:rsid w:val="00BE3C91"/>
    <w:rsid w:val="00C96C23"/>
    <w:rsid w:val="00CC7F7B"/>
    <w:rsid w:val="00D113B0"/>
    <w:rsid w:val="00D1771E"/>
    <w:rsid w:val="00D51011"/>
    <w:rsid w:val="00D519DF"/>
    <w:rsid w:val="00DA1880"/>
    <w:rsid w:val="00DE0F86"/>
    <w:rsid w:val="00E25B5E"/>
    <w:rsid w:val="00E37430"/>
    <w:rsid w:val="00E40332"/>
    <w:rsid w:val="00EF7388"/>
    <w:rsid w:val="00F00BEF"/>
    <w:rsid w:val="00F13453"/>
    <w:rsid w:val="00F63661"/>
    <w:rsid w:val="00F71EF2"/>
    <w:rsid w:val="00FB4423"/>
    <w:rsid w:val="00FC3492"/>
    <w:rsid w:val="00FD42C0"/>
    <w:rsid w:val="00FE11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1F925D"/>
  <w15:chartTrackingRefBased/>
  <w15:docId w15:val="{74A5CCE2-F4F7-4A46-8584-EC9FF5EF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5ED4"/>
    <w:pPr>
      <w:suppressAutoHyphens/>
    </w:pPr>
    <w:rPr>
      <w:lang w:eastAsia="ar-SA"/>
    </w:rPr>
  </w:style>
  <w:style w:type="paragraph" w:styleId="Nagwek1">
    <w:name w:val="heading 1"/>
    <w:basedOn w:val="Normalny"/>
    <w:next w:val="Normalny"/>
    <w:qFormat/>
    <w:pPr>
      <w:keepNext/>
      <w:numPr>
        <w:numId w:val="1"/>
      </w:numPr>
      <w:spacing w:before="120" w:after="120"/>
      <w:ind w:right="-142"/>
      <w:jc w:val="center"/>
      <w:outlineLvl w:val="0"/>
    </w:pPr>
    <w:rPr>
      <w:b/>
      <w:sz w:val="24"/>
    </w:rPr>
  </w:style>
  <w:style w:type="paragraph" w:styleId="Nagwek2">
    <w:name w:val="heading 2"/>
    <w:basedOn w:val="Normalny"/>
    <w:next w:val="Normalny"/>
    <w:qFormat/>
    <w:pPr>
      <w:keepNext/>
      <w:numPr>
        <w:ilvl w:val="1"/>
        <w:numId w:val="1"/>
      </w:numPr>
      <w:tabs>
        <w:tab w:val="left" w:pos="1985"/>
        <w:tab w:val="left" w:pos="6237"/>
      </w:tabs>
      <w:ind w:right="-142"/>
      <w:jc w:val="both"/>
      <w:outlineLvl w:val="1"/>
    </w:pPr>
    <w:rPr>
      <w:sz w:val="24"/>
    </w:rPr>
  </w:style>
  <w:style w:type="paragraph" w:styleId="Nagwek3">
    <w:name w:val="heading 3"/>
    <w:basedOn w:val="Nagwek10"/>
    <w:next w:val="Tekstpodstawowy"/>
    <w:qFormat/>
    <w:pPr>
      <w:numPr>
        <w:ilvl w:val="2"/>
        <w:numId w:val="1"/>
      </w:numPr>
      <w:outlineLvl w:val="2"/>
    </w:pPr>
    <w:rPr>
      <w:b/>
      <w:bCs/>
    </w:rPr>
  </w:style>
  <w:style w:type="paragraph" w:styleId="Nagwek4">
    <w:name w:val="heading 4"/>
    <w:basedOn w:val="Nagwek10"/>
    <w:next w:val="Tekstpodstawowy"/>
    <w:qFormat/>
    <w:pPr>
      <w:numPr>
        <w:ilvl w:val="3"/>
        <w:numId w:val="1"/>
      </w:numPr>
      <w:outlineLvl w:val="3"/>
    </w:pPr>
    <w:rPr>
      <w:b/>
      <w:bCs/>
      <w:i/>
      <w:iCs/>
      <w:sz w:val="24"/>
      <w:szCs w:val="24"/>
    </w:rPr>
  </w:style>
  <w:style w:type="paragraph" w:styleId="Nagwek5">
    <w:name w:val="heading 5"/>
    <w:basedOn w:val="Nagwek10"/>
    <w:next w:val="Tekstpodstawowy"/>
    <w:qFormat/>
    <w:pPr>
      <w:numPr>
        <w:ilvl w:val="4"/>
        <w:numId w:val="1"/>
      </w:numPr>
      <w:outlineLvl w:val="4"/>
    </w:pPr>
    <w:rPr>
      <w:b/>
      <w:bCs/>
      <w:sz w:val="24"/>
      <w:szCs w:val="24"/>
    </w:rPr>
  </w:style>
  <w:style w:type="paragraph" w:styleId="Nagwek6">
    <w:name w:val="heading 6"/>
    <w:basedOn w:val="Nagwek10"/>
    <w:next w:val="Tekstpodstawowy"/>
    <w:qFormat/>
    <w:pPr>
      <w:numPr>
        <w:ilvl w:val="5"/>
        <w:numId w:val="1"/>
      </w:numPr>
      <w:outlineLvl w:val="5"/>
    </w:pPr>
    <w:rPr>
      <w:b/>
      <w:bCs/>
      <w:sz w:val="21"/>
      <w:szCs w:val="21"/>
    </w:rPr>
  </w:style>
  <w:style w:type="paragraph" w:styleId="Nagwek7">
    <w:name w:val="heading 7"/>
    <w:basedOn w:val="Nagwek10"/>
    <w:next w:val="Tekstpodstawowy"/>
    <w:qFormat/>
    <w:pPr>
      <w:numPr>
        <w:ilvl w:val="6"/>
        <w:numId w:val="1"/>
      </w:numPr>
      <w:outlineLvl w:val="6"/>
    </w:pPr>
    <w:rPr>
      <w:b/>
      <w:bCs/>
      <w:sz w:val="21"/>
      <w:szCs w:val="21"/>
    </w:rPr>
  </w:style>
  <w:style w:type="paragraph" w:styleId="Nagwek8">
    <w:name w:val="heading 8"/>
    <w:basedOn w:val="Nagwek10"/>
    <w:next w:val="Tekstpodstawowy"/>
    <w:qFormat/>
    <w:pPr>
      <w:numPr>
        <w:ilvl w:val="7"/>
        <w:numId w:val="1"/>
      </w:numPr>
      <w:outlineLvl w:val="7"/>
    </w:pPr>
    <w:rPr>
      <w:b/>
      <w:b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Domylnaczcionkaakapitu">
    <w:name w:val="WW-Domyślna czcionka akapitu"/>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ind w:right="-142"/>
      <w:jc w:val="both"/>
    </w:pPr>
    <w:rPr>
      <w:sz w:val="24"/>
    </w:r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styleId="Nagwek">
    <w:name w:val="header"/>
    <w:basedOn w:val="Normalny"/>
    <w:next w:val="Tekstpodstawowy"/>
    <w:pPr>
      <w:keepNext/>
      <w:spacing w:before="240" w:after="120"/>
    </w:pPr>
    <w:rPr>
      <w:rFonts w:ascii="Arial" w:eastAsia="HG Mincho Light J" w:hAnsi="Arial" w:cs="Tahoma"/>
      <w:sz w:val="28"/>
      <w:szCs w:val="28"/>
    </w:rPr>
  </w:style>
  <w:style w:type="paragraph" w:customStyle="1" w:styleId="WW-Podpis">
    <w:name w:val="WW-Podpis"/>
    <w:basedOn w:val="Normalny"/>
    <w:pPr>
      <w:suppressLineNumbers/>
      <w:spacing w:before="120" w:after="120"/>
    </w:pPr>
    <w:rPr>
      <w:rFonts w:cs="Tahoma"/>
      <w:i/>
      <w:iCs/>
    </w:rPr>
  </w:style>
  <w:style w:type="paragraph" w:customStyle="1" w:styleId="WW-Indeks">
    <w:name w:val="WW-Indeks"/>
    <w:basedOn w:val="Normalny"/>
    <w:pPr>
      <w:suppressLineNumbers/>
    </w:pPr>
    <w:rPr>
      <w:rFonts w:cs="Tahoma"/>
    </w:rPr>
  </w:style>
  <w:style w:type="paragraph" w:customStyle="1" w:styleId="WW-Nagwek">
    <w:name w:val="WW-Nagłówek"/>
    <w:basedOn w:val="Normalny"/>
    <w:next w:val="Tekstpodstawowy"/>
    <w:pPr>
      <w:keepNext/>
      <w:spacing w:before="240" w:after="120"/>
    </w:pPr>
    <w:rPr>
      <w:rFonts w:ascii="Arial" w:eastAsia="HG Mincho Light J" w:hAnsi="Arial" w:cs="Tahoma"/>
      <w:sz w:val="28"/>
      <w:szCs w:val="28"/>
    </w:rPr>
  </w:style>
  <w:style w:type="paragraph" w:customStyle="1" w:styleId="WW-Podpis1">
    <w:name w:val="WW-Podpis1"/>
    <w:basedOn w:val="Normalny"/>
    <w:pPr>
      <w:suppressLineNumbers/>
      <w:spacing w:before="120" w:after="120"/>
    </w:pPr>
    <w:rPr>
      <w:rFonts w:cs="Tahoma"/>
      <w:i/>
      <w:iCs/>
    </w:rPr>
  </w:style>
  <w:style w:type="paragraph" w:customStyle="1" w:styleId="WW-Indeks1">
    <w:name w:val="WW-Indeks1"/>
    <w:basedOn w:val="Normalny"/>
    <w:pPr>
      <w:suppressLineNumbers/>
    </w:pPr>
    <w:rPr>
      <w:rFonts w:cs="Tahoma"/>
    </w:rPr>
  </w:style>
  <w:style w:type="paragraph" w:customStyle="1" w:styleId="WW-Nagwek1">
    <w:name w:val="WW-Nagłówek1"/>
    <w:basedOn w:val="Normalny"/>
    <w:next w:val="Tekstpodstawowy"/>
    <w:pPr>
      <w:keepNext/>
      <w:spacing w:before="240" w:after="120"/>
    </w:pPr>
    <w:rPr>
      <w:rFonts w:ascii="Arial" w:eastAsia="HG Mincho Light J" w:hAnsi="Arial" w:cs="Tahoma"/>
      <w:sz w:val="28"/>
      <w:szCs w:val="28"/>
    </w:rPr>
  </w:style>
  <w:style w:type="paragraph" w:customStyle="1" w:styleId="WW-Podpis11">
    <w:name w:val="WW-Podpis11"/>
    <w:basedOn w:val="Normalny"/>
    <w:pPr>
      <w:suppressLineNumbers/>
      <w:spacing w:before="120" w:after="120"/>
    </w:pPr>
    <w:rPr>
      <w:rFonts w:cs="Tahoma"/>
      <w:i/>
      <w:iCs/>
    </w:rPr>
  </w:style>
  <w:style w:type="paragraph" w:customStyle="1" w:styleId="WW-Indeks11">
    <w:name w:val="WW-Indeks11"/>
    <w:basedOn w:val="Normalny"/>
    <w:pPr>
      <w:suppressLineNumbers/>
    </w:pPr>
    <w:rPr>
      <w:rFonts w:cs="Tahoma"/>
    </w:rPr>
  </w:style>
  <w:style w:type="paragraph" w:customStyle="1" w:styleId="WW-Nagwek11">
    <w:name w:val="WW-Nagłówek11"/>
    <w:basedOn w:val="Normalny"/>
    <w:next w:val="Tekstpodstawowy"/>
    <w:pPr>
      <w:keepNext/>
      <w:spacing w:before="240" w:after="120"/>
    </w:pPr>
    <w:rPr>
      <w:rFonts w:ascii="Arial" w:eastAsia="HG Mincho Light J" w:hAnsi="Arial" w:cs="Tahoma"/>
      <w:sz w:val="28"/>
      <w:szCs w:val="28"/>
    </w:rPr>
  </w:style>
  <w:style w:type="paragraph" w:styleId="Tytu">
    <w:name w:val="Title"/>
    <w:basedOn w:val="Normalny"/>
    <w:next w:val="Podtytu"/>
    <w:qFormat/>
    <w:pPr>
      <w:jc w:val="center"/>
    </w:pPr>
    <w:rPr>
      <w:b/>
      <w:sz w:val="24"/>
    </w:rPr>
  </w:style>
  <w:style w:type="paragraph" w:styleId="Podtytu">
    <w:name w:val="Subtitle"/>
    <w:basedOn w:val="Normalny"/>
    <w:next w:val="Tekstpodstawowy"/>
    <w:qFormat/>
    <w:pPr>
      <w:ind w:right="-142"/>
      <w:jc w:val="center"/>
    </w:pPr>
    <w:rPr>
      <w:sz w:val="24"/>
    </w:rPr>
  </w:style>
  <w:style w:type="paragraph" w:styleId="Tekstdymka">
    <w:name w:val="Balloon Text"/>
    <w:basedOn w:val="Normalny"/>
    <w:link w:val="TekstdymkaZnak"/>
    <w:uiPriority w:val="99"/>
    <w:semiHidden/>
    <w:unhideWhenUsed/>
    <w:rsid w:val="006847A3"/>
    <w:rPr>
      <w:rFonts w:ascii="Segoe UI" w:hAnsi="Segoe UI" w:cs="Segoe UI"/>
      <w:sz w:val="18"/>
      <w:szCs w:val="18"/>
    </w:rPr>
  </w:style>
  <w:style w:type="character" w:customStyle="1" w:styleId="TekstdymkaZnak">
    <w:name w:val="Tekst dymka Znak"/>
    <w:link w:val="Tekstdymka"/>
    <w:uiPriority w:val="99"/>
    <w:semiHidden/>
    <w:rsid w:val="006847A3"/>
    <w:rPr>
      <w:rFonts w:ascii="Segoe UI" w:hAnsi="Segoe UI" w:cs="Segoe UI"/>
      <w:sz w:val="18"/>
      <w:szCs w:val="18"/>
      <w:lang w:eastAsia="ar-SA"/>
    </w:rPr>
  </w:style>
  <w:style w:type="paragraph" w:styleId="Akapitzlist">
    <w:name w:val="List Paragraph"/>
    <w:basedOn w:val="Normalny"/>
    <w:uiPriority w:val="34"/>
    <w:qFormat/>
    <w:rsid w:val="002353F4"/>
    <w:pPr>
      <w:ind w:left="720"/>
      <w:contextualSpacing/>
    </w:pPr>
  </w:style>
  <w:style w:type="character" w:styleId="Odwoaniedokomentarza">
    <w:name w:val="annotation reference"/>
    <w:basedOn w:val="Domylnaczcionkaakapitu"/>
    <w:uiPriority w:val="99"/>
    <w:semiHidden/>
    <w:unhideWhenUsed/>
    <w:rsid w:val="00F00BEF"/>
    <w:rPr>
      <w:sz w:val="16"/>
      <w:szCs w:val="16"/>
    </w:rPr>
  </w:style>
  <w:style w:type="paragraph" w:styleId="Tekstkomentarza">
    <w:name w:val="annotation text"/>
    <w:basedOn w:val="Normalny"/>
    <w:link w:val="TekstkomentarzaZnak"/>
    <w:uiPriority w:val="99"/>
    <w:semiHidden/>
    <w:unhideWhenUsed/>
    <w:rsid w:val="00F00BEF"/>
  </w:style>
  <w:style w:type="character" w:customStyle="1" w:styleId="TekstkomentarzaZnak">
    <w:name w:val="Tekst komentarza Znak"/>
    <w:basedOn w:val="Domylnaczcionkaakapitu"/>
    <w:link w:val="Tekstkomentarza"/>
    <w:uiPriority w:val="99"/>
    <w:semiHidden/>
    <w:rsid w:val="00F00BEF"/>
    <w:rPr>
      <w:lang w:eastAsia="ar-SA"/>
    </w:rPr>
  </w:style>
  <w:style w:type="paragraph" w:styleId="Tematkomentarza">
    <w:name w:val="annotation subject"/>
    <w:basedOn w:val="Tekstkomentarza"/>
    <w:next w:val="Tekstkomentarza"/>
    <w:link w:val="TematkomentarzaZnak"/>
    <w:uiPriority w:val="99"/>
    <w:semiHidden/>
    <w:unhideWhenUsed/>
    <w:rsid w:val="00F00BEF"/>
    <w:rPr>
      <w:b/>
      <w:bCs/>
    </w:rPr>
  </w:style>
  <w:style w:type="character" w:customStyle="1" w:styleId="TematkomentarzaZnak">
    <w:name w:val="Temat komentarza Znak"/>
    <w:basedOn w:val="TekstkomentarzaZnak"/>
    <w:link w:val="Tematkomentarza"/>
    <w:uiPriority w:val="99"/>
    <w:semiHidden/>
    <w:rsid w:val="00F00BEF"/>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980</Words>
  <Characters>5885</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UCHWAŁA</vt:lpstr>
    </vt:vector>
  </TitlesOfParts>
  <Company>INTiBS</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
  <dc:creator>INTiBS</dc:creator>
  <cp:keywords/>
  <cp:lastModifiedBy>Andrzej Koczarski</cp:lastModifiedBy>
  <cp:revision>69</cp:revision>
  <cp:lastPrinted>2020-06-02T16:38:00Z</cp:lastPrinted>
  <dcterms:created xsi:type="dcterms:W3CDTF">2022-03-16T16:03:00Z</dcterms:created>
  <dcterms:modified xsi:type="dcterms:W3CDTF">2022-11-24T12:00:00Z</dcterms:modified>
</cp:coreProperties>
</file>